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4F" w:rsidRPr="00207375" w:rsidRDefault="0099704F" w:rsidP="0099704F">
      <w:pPr>
        <w:jc w:val="center"/>
        <w:rPr>
          <w:rFonts w:ascii="Rockwell" w:hAnsi="Rockwell" w:cs="Arial"/>
          <w:b/>
          <w:sz w:val="28"/>
          <w:szCs w:val="28"/>
          <w:u w:val="single"/>
        </w:rPr>
      </w:pPr>
    </w:p>
    <w:p w:rsidR="00070707" w:rsidRPr="00CE379D" w:rsidRDefault="00D33932" w:rsidP="0099704F">
      <w:pPr>
        <w:jc w:val="center"/>
        <w:rPr>
          <w:rFonts w:ascii="Arial" w:hAnsi="Arial" w:cs="Arial"/>
          <w:b/>
          <w:sz w:val="24"/>
          <w:szCs w:val="24"/>
          <w:u w:val="single"/>
        </w:rPr>
      </w:pPr>
      <w:r w:rsidRPr="00CE379D">
        <w:rPr>
          <w:rFonts w:ascii="Arial" w:hAnsi="Arial" w:cs="Arial"/>
          <w:b/>
          <w:sz w:val="24"/>
          <w:szCs w:val="24"/>
          <w:u w:val="single"/>
        </w:rPr>
        <w:t xml:space="preserve">Terms of Reference – Community Governance Review of </w:t>
      </w:r>
      <w:r w:rsidR="007F5033" w:rsidRPr="00CE379D">
        <w:rPr>
          <w:rFonts w:ascii="Arial" w:hAnsi="Arial" w:cs="Arial"/>
          <w:b/>
          <w:sz w:val="24"/>
          <w:szCs w:val="24"/>
          <w:u w:val="single"/>
        </w:rPr>
        <w:t>Headington</w:t>
      </w:r>
    </w:p>
    <w:p w:rsidR="00070707" w:rsidRPr="00CE379D" w:rsidRDefault="00D33932" w:rsidP="00070707">
      <w:pPr>
        <w:rPr>
          <w:rFonts w:ascii="Arial" w:hAnsi="Arial" w:cs="Arial"/>
          <w:b/>
          <w:sz w:val="24"/>
          <w:szCs w:val="24"/>
          <w:u w:val="single"/>
        </w:rPr>
      </w:pPr>
      <w:r w:rsidRPr="00CE379D">
        <w:rPr>
          <w:rFonts w:ascii="Arial" w:hAnsi="Arial" w:cs="Arial"/>
          <w:b/>
          <w:sz w:val="24"/>
          <w:szCs w:val="24"/>
          <w:u w:val="single"/>
        </w:rPr>
        <w:t xml:space="preserve">Introduction </w:t>
      </w:r>
    </w:p>
    <w:p w:rsidR="00070707" w:rsidRPr="00CE379D" w:rsidRDefault="007F5033" w:rsidP="00070707">
      <w:pPr>
        <w:rPr>
          <w:rFonts w:ascii="Arial" w:hAnsi="Arial" w:cs="Arial"/>
          <w:sz w:val="24"/>
          <w:szCs w:val="24"/>
        </w:rPr>
      </w:pPr>
      <w:r w:rsidRPr="00CE379D">
        <w:rPr>
          <w:rFonts w:ascii="Arial" w:hAnsi="Arial" w:cs="Arial"/>
          <w:sz w:val="24"/>
          <w:szCs w:val="24"/>
        </w:rPr>
        <w:t>Oxford City</w:t>
      </w:r>
      <w:r w:rsidR="00D33932" w:rsidRPr="00CE379D">
        <w:rPr>
          <w:rFonts w:ascii="Arial" w:hAnsi="Arial" w:cs="Arial"/>
          <w:sz w:val="24"/>
          <w:szCs w:val="24"/>
        </w:rPr>
        <w:t xml:space="preserve"> Council is carrying out a </w:t>
      </w:r>
      <w:r w:rsidRPr="00CE379D">
        <w:rPr>
          <w:rFonts w:ascii="Arial" w:hAnsi="Arial" w:cs="Arial"/>
          <w:sz w:val="24"/>
          <w:szCs w:val="24"/>
        </w:rPr>
        <w:t>c</w:t>
      </w:r>
      <w:r w:rsidR="00D33932" w:rsidRPr="00CE379D">
        <w:rPr>
          <w:rFonts w:ascii="Arial" w:hAnsi="Arial" w:cs="Arial"/>
          <w:sz w:val="24"/>
          <w:szCs w:val="24"/>
        </w:rPr>
        <w:t xml:space="preserve">ommunity </w:t>
      </w:r>
      <w:r w:rsidRPr="00CE379D">
        <w:rPr>
          <w:rFonts w:ascii="Arial" w:hAnsi="Arial" w:cs="Arial"/>
          <w:sz w:val="24"/>
          <w:szCs w:val="24"/>
        </w:rPr>
        <w:t>g</w:t>
      </w:r>
      <w:r w:rsidR="00D33932" w:rsidRPr="00CE379D">
        <w:rPr>
          <w:rFonts w:ascii="Arial" w:hAnsi="Arial" w:cs="Arial"/>
          <w:sz w:val="24"/>
          <w:szCs w:val="24"/>
        </w:rPr>
        <w:t xml:space="preserve">overnance </w:t>
      </w:r>
      <w:r w:rsidRPr="00CE379D">
        <w:rPr>
          <w:rFonts w:ascii="Arial" w:hAnsi="Arial" w:cs="Arial"/>
          <w:sz w:val="24"/>
          <w:szCs w:val="24"/>
        </w:rPr>
        <w:t>r</w:t>
      </w:r>
      <w:r w:rsidR="00D33932" w:rsidRPr="00CE379D">
        <w:rPr>
          <w:rFonts w:ascii="Arial" w:hAnsi="Arial" w:cs="Arial"/>
          <w:sz w:val="24"/>
          <w:szCs w:val="24"/>
        </w:rPr>
        <w:t xml:space="preserve">eview in the </w:t>
      </w:r>
      <w:r w:rsidRPr="00CE379D">
        <w:rPr>
          <w:rFonts w:ascii="Arial" w:hAnsi="Arial" w:cs="Arial"/>
          <w:sz w:val="24"/>
          <w:szCs w:val="24"/>
        </w:rPr>
        <w:t>Headington area</w:t>
      </w:r>
      <w:r w:rsidR="00D33932" w:rsidRPr="00CE379D">
        <w:rPr>
          <w:rFonts w:ascii="Arial" w:hAnsi="Arial" w:cs="Arial"/>
          <w:sz w:val="24"/>
          <w:szCs w:val="24"/>
        </w:rPr>
        <w:t xml:space="preserve"> in accordance with Part 4, Chapter 3 of the Local Government and Public Involvement in Health Act 2007. </w:t>
      </w:r>
    </w:p>
    <w:p w:rsidR="00070707" w:rsidRPr="00CE379D" w:rsidRDefault="00D33932" w:rsidP="00070707">
      <w:pPr>
        <w:rPr>
          <w:rFonts w:ascii="Arial" w:hAnsi="Arial" w:cs="Arial"/>
          <w:sz w:val="24"/>
          <w:szCs w:val="24"/>
        </w:rPr>
      </w:pPr>
      <w:r w:rsidRPr="00CE379D">
        <w:rPr>
          <w:rFonts w:ascii="Arial" w:hAnsi="Arial" w:cs="Arial"/>
          <w:sz w:val="24"/>
          <w:szCs w:val="24"/>
        </w:rPr>
        <w:t xml:space="preserve">The Council is required to have regard for the </w:t>
      </w:r>
      <w:r w:rsidR="007F5033" w:rsidRPr="00CE379D">
        <w:rPr>
          <w:rFonts w:ascii="Arial" w:hAnsi="Arial" w:cs="Arial"/>
          <w:sz w:val="24"/>
          <w:szCs w:val="24"/>
        </w:rPr>
        <w:t>g</w:t>
      </w:r>
      <w:r w:rsidRPr="00CE379D">
        <w:rPr>
          <w:rFonts w:ascii="Arial" w:hAnsi="Arial" w:cs="Arial"/>
          <w:sz w:val="24"/>
          <w:szCs w:val="24"/>
        </w:rPr>
        <w:t xml:space="preserve">uidance on </w:t>
      </w:r>
      <w:r w:rsidR="007F5033" w:rsidRPr="00CE379D">
        <w:rPr>
          <w:rFonts w:ascii="Arial" w:hAnsi="Arial" w:cs="Arial"/>
          <w:sz w:val="24"/>
          <w:szCs w:val="24"/>
        </w:rPr>
        <w:t>c</w:t>
      </w:r>
      <w:r w:rsidRPr="00CE379D">
        <w:rPr>
          <w:rFonts w:ascii="Arial" w:hAnsi="Arial" w:cs="Arial"/>
          <w:sz w:val="24"/>
          <w:szCs w:val="24"/>
        </w:rPr>
        <w:t xml:space="preserve">ommunity </w:t>
      </w:r>
      <w:r w:rsidR="007F5033" w:rsidRPr="00CE379D">
        <w:rPr>
          <w:rFonts w:ascii="Arial" w:hAnsi="Arial" w:cs="Arial"/>
          <w:sz w:val="24"/>
          <w:szCs w:val="24"/>
        </w:rPr>
        <w:t>g</w:t>
      </w:r>
      <w:r w:rsidRPr="00CE379D">
        <w:rPr>
          <w:rFonts w:ascii="Arial" w:hAnsi="Arial" w:cs="Arial"/>
          <w:sz w:val="24"/>
          <w:szCs w:val="24"/>
        </w:rPr>
        <w:t xml:space="preserve">overnance </w:t>
      </w:r>
      <w:r w:rsidR="007F5033" w:rsidRPr="00CE379D">
        <w:rPr>
          <w:rFonts w:ascii="Arial" w:hAnsi="Arial" w:cs="Arial"/>
          <w:sz w:val="24"/>
          <w:szCs w:val="24"/>
        </w:rPr>
        <w:t>r</w:t>
      </w:r>
      <w:r w:rsidRPr="00CE379D">
        <w:rPr>
          <w:rFonts w:ascii="Arial" w:hAnsi="Arial" w:cs="Arial"/>
          <w:sz w:val="24"/>
          <w:szCs w:val="24"/>
        </w:rPr>
        <w:t>eviews issued by the Secretary of State for</w:t>
      </w:r>
      <w:r w:rsidR="007F5033" w:rsidRPr="00CE379D">
        <w:rPr>
          <w:rFonts w:ascii="Arial" w:hAnsi="Arial" w:cs="Arial"/>
          <w:sz w:val="24"/>
          <w:szCs w:val="24"/>
        </w:rPr>
        <w:t xml:space="preserve"> Housing,</w:t>
      </w:r>
      <w:r w:rsidRPr="00CE379D">
        <w:rPr>
          <w:rFonts w:ascii="Arial" w:hAnsi="Arial" w:cs="Arial"/>
          <w:sz w:val="24"/>
          <w:szCs w:val="24"/>
        </w:rPr>
        <w:t xml:space="preserve"> Communities and Local Government. This guidance has been considered in drawing up these terms of reference.</w:t>
      </w:r>
    </w:p>
    <w:p w:rsidR="00070707" w:rsidRPr="00CE379D" w:rsidRDefault="00D33932" w:rsidP="00070707">
      <w:pPr>
        <w:rPr>
          <w:rFonts w:ascii="Arial" w:hAnsi="Arial" w:cs="Arial"/>
          <w:b/>
          <w:sz w:val="24"/>
          <w:szCs w:val="24"/>
          <w:u w:val="single"/>
        </w:rPr>
      </w:pPr>
      <w:r w:rsidRPr="00CE379D">
        <w:rPr>
          <w:rFonts w:ascii="Arial" w:hAnsi="Arial" w:cs="Arial"/>
          <w:b/>
          <w:sz w:val="24"/>
          <w:szCs w:val="24"/>
          <w:u w:val="single"/>
        </w:rPr>
        <w:t xml:space="preserve">Why are we carrying out a Community Governance Review in </w:t>
      </w:r>
      <w:proofErr w:type="gramStart"/>
      <w:r w:rsidR="007F5033" w:rsidRPr="00CE379D">
        <w:rPr>
          <w:rFonts w:ascii="Arial" w:hAnsi="Arial" w:cs="Arial"/>
          <w:b/>
          <w:sz w:val="24"/>
          <w:szCs w:val="24"/>
          <w:u w:val="single"/>
        </w:rPr>
        <w:t>Heading</w:t>
      </w:r>
      <w:r w:rsidR="008D73BE" w:rsidRPr="00CE379D">
        <w:rPr>
          <w:rFonts w:ascii="Arial" w:hAnsi="Arial" w:cs="Arial"/>
          <w:b/>
          <w:sz w:val="24"/>
          <w:szCs w:val="24"/>
          <w:u w:val="single"/>
        </w:rPr>
        <w:t>t</w:t>
      </w:r>
      <w:r w:rsidR="007F5033" w:rsidRPr="00CE379D">
        <w:rPr>
          <w:rFonts w:ascii="Arial" w:hAnsi="Arial" w:cs="Arial"/>
          <w:b/>
          <w:sz w:val="24"/>
          <w:szCs w:val="24"/>
          <w:u w:val="single"/>
        </w:rPr>
        <w:t>on</w:t>
      </w:r>
      <w:proofErr w:type="gramEnd"/>
    </w:p>
    <w:p w:rsidR="007F5033" w:rsidRPr="00CE379D" w:rsidRDefault="007F5033" w:rsidP="00070707">
      <w:pPr>
        <w:rPr>
          <w:rFonts w:ascii="Arial" w:hAnsi="Arial" w:cs="Arial"/>
          <w:sz w:val="24"/>
          <w:szCs w:val="24"/>
        </w:rPr>
      </w:pPr>
      <w:r w:rsidRPr="00CE379D">
        <w:rPr>
          <w:rFonts w:ascii="Arial" w:hAnsi="Arial" w:cs="Arial"/>
          <w:sz w:val="24"/>
          <w:szCs w:val="24"/>
        </w:rPr>
        <w:t>The</w:t>
      </w:r>
      <w:r w:rsidR="00D33932" w:rsidRPr="00CE379D">
        <w:rPr>
          <w:rFonts w:ascii="Arial" w:hAnsi="Arial" w:cs="Arial"/>
          <w:sz w:val="24"/>
          <w:szCs w:val="24"/>
        </w:rPr>
        <w:t xml:space="preserve"> Council has received a valid </w:t>
      </w:r>
      <w:r w:rsidRPr="00CE379D">
        <w:rPr>
          <w:rFonts w:ascii="Arial" w:hAnsi="Arial" w:cs="Arial"/>
          <w:sz w:val="24"/>
          <w:szCs w:val="24"/>
        </w:rPr>
        <w:t>request</w:t>
      </w:r>
      <w:r w:rsidR="00D33932" w:rsidRPr="00CE379D">
        <w:rPr>
          <w:rFonts w:ascii="Arial" w:hAnsi="Arial" w:cs="Arial"/>
          <w:sz w:val="24"/>
          <w:szCs w:val="24"/>
        </w:rPr>
        <w:t xml:space="preserve"> asking for the formation of a </w:t>
      </w:r>
      <w:r w:rsidRPr="00CE379D">
        <w:rPr>
          <w:rFonts w:ascii="Arial" w:hAnsi="Arial" w:cs="Arial"/>
          <w:sz w:val="24"/>
          <w:szCs w:val="24"/>
        </w:rPr>
        <w:t>community council</w:t>
      </w:r>
      <w:r w:rsidR="00D33932" w:rsidRPr="00CE379D">
        <w:rPr>
          <w:rFonts w:ascii="Arial" w:hAnsi="Arial" w:cs="Arial"/>
          <w:sz w:val="24"/>
          <w:szCs w:val="24"/>
        </w:rPr>
        <w:t xml:space="preserve"> for the </w:t>
      </w:r>
      <w:r w:rsidRPr="00CE379D">
        <w:rPr>
          <w:rFonts w:ascii="Arial" w:hAnsi="Arial" w:cs="Arial"/>
          <w:sz w:val="24"/>
          <w:szCs w:val="24"/>
        </w:rPr>
        <w:t>area</w:t>
      </w:r>
      <w:r w:rsidR="00062D13">
        <w:rPr>
          <w:rFonts w:ascii="Arial" w:hAnsi="Arial" w:cs="Arial"/>
          <w:sz w:val="24"/>
          <w:szCs w:val="24"/>
        </w:rPr>
        <w:t xml:space="preserve"> in Headington covered by the</w:t>
      </w:r>
      <w:r w:rsidRPr="00CE379D">
        <w:rPr>
          <w:rFonts w:ascii="Arial" w:hAnsi="Arial" w:cs="Arial"/>
          <w:sz w:val="24"/>
          <w:szCs w:val="24"/>
        </w:rPr>
        <w:t xml:space="preserve"> neighbourhood planning referendum</w:t>
      </w:r>
      <w:r w:rsidR="00062D13">
        <w:rPr>
          <w:rFonts w:ascii="Arial" w:hAnsi="Arial" w:cs="Arial"/>
          <w:sz w:val="24"/>
          <w:szCs w:val="24"/>
        </w:rPr>
        <w:t xml:space="preserve"> undertaken in May 2017</w:t>
      </w:r>
      <w:r w:rsidR="00D33932" w:rsidRPr="00CE379D">
        <w:rPr>
          <w:rFonts w:ascii="Arial" w:hAnsi="Arial" w:cs="Arial"/>
          <w:sz w:val="24"/>
          <w:szCs w:val="24"/>
        </w:rPr>
        <w:t xml:space="preserve">. </w:t>
      </w:r>
    </w:p>
    <w:p w:rsidR="00070707" w:rsidRPr="00CE379D" w:rsidRDefault="00D33932" w:rsidP="00070707">
      <w:pPr>
        <w:rPr>
          <w:rFonts w:ascii="Arial" w:hAnsi="Arial" w:cs="Arial"/>
          <w:b/>
          <w:sz w:val="24"/>
          <w:szCs w:val="24"/>
          <w:u w:val="single"/>
        </w:rPr>
      </w:pPr>
      <w:r w:rsidRPr="00CE379D">
        <w:rPr>
          <w:rFonts w:ascii="Arial" w:hAnsi="Arial" w:cs="Arial"/>
          <w:b/>
          <w:sz w:val="24"/>
          <w:szCs w:val="24"/>
          <w:u w:val="single"/>
        </w:rPr>
        <w:t>What is a Community Governance Review?</w:t>
      </w:r>
    </w:p>
    <w:p w:rsidR="008D73BE" w:rsidRPr="00CE379D" w:rsidRDefault="00D33932" w:rsidP="00070707">
      <w:pPr>
        <w:rPr>
          <w:rFonts w:ascii="Arial" w:hAnsi="Arial" w:cs="Arial"/>
          <w:sz w:val="24"/>
          <w:szCs w:val="24"/>
        </w:rPr>
      </w:pPr>
      <w:r w:rsidRPr="00CE379D">
        <w:rPr>
          <w:rFonts w:ascii="Arial" w:hAnsi="Arial" w:cs="Arial"/>
          <w:sz w:val="24"/>
          <w:szCs w:val="24"/>
        </w:rPr>
        <w:t xml:space="preserve">The </w:t>
      </w:r>
      <w:r w:rsidR="007F5033" w:rsidRPr="00CE379D">
        <w:rPr>
          <w:rFonts w:ascii="Arial" w:hAnsi="Arial" w:cs="Arial"/>
          <w:sz w:val="24"/>
          <w:szCs w:val="24"/>
        </w:rPr>
        <w:t>c</w:t>
      </w:r>
      <w:r w:rsidRPr="00CE379D">
        <w:rPr>
          <w:rFonts w:ascii="Arial" w:hAnsi="Arial" w:cs="Arial"/>
          <w:sz w:val="24"/>
          <w:szCs w:val="24"/>
        </w:rPr>
        <w:t xml:space="preserve">ommunity </w:t>
      </w:r>
      <w:r w:rsidR="007F5033" w:rsidRPr="00CE379D">
        <w:rPr>
          <w:rFonts w:ascii="Arial" w:hAnsi="Arial" w:cs="Arial"/>
          <w:sz w:val="24"/>
          <w:szCs w:val="24"/>
        </w:rPr>
        <w:t>g</w:t>
      </w:r>
      <w:r w:rsidRPr="00CE379D">
        <w:rPr>
          <w:rFonts w:ascii="Arial" w:hAnsi="Arial" w:cs="Arial"/>
          <w:sz w:val="24"/>
          <w:szCs w:val="24"/>
        </w:rPr>
        <w:t xml:space="preserve">overnance </w:t>
      </w:r>
      <w:r w:rsidR="007F5033" w:rsidRPr="00CE379D">
        <w:rPr>
          <w:rFonts w:ascii="Arial" w:hAnsi="Arial" w:cs="Arial"/>
          <w:sz w:val="24"/>
          <w:szCs w:val="24"/>
        </w:rPr>
        <w:t>r</w:t>
      </w:r>
      <w:r w:rsidRPr="00CE379D">
        <w:rPr>
          <w:rFonts w:ascii="Arial" w:hAnsi="Arial" w:cs="Arial"/>
          <w:sz w:val="24"/>
          <w:szCs w:val="24"/>
        </w:rPr>
        <w:t xml:space="preserve">eview is the process used to consider whether </w:t>
      </w:r>
      <w:r w:rsidR="007F5033" w:rsidRPr="00CE379D">
        <w:rPr>
          <w:rFonts w:ascii="Arial" w:hAnsi="Arial" w:cs="Arial"/>
          <w:sz w:val="24"/>
          <w:szCs w:val="24"/>
        </w:rPr>
        <w:t>a</w:t>
      </w:r>
      <w:r w:rsidR="008D73BE" w:rsidRPr="00CE379D">
        <w:rPr>
          <w:rFonts w:ascii="Arial" w:hAnsi="Arial" w:cs="Arial"/>
          <w:sz w:val="24"/>
          <w:szCs w:val="24"/>
        </w:rPr>
        <w:t xml:space="preserve"> community</w:t>
      </w:r>
      <w:r w:rsidRPr="00CE379D">
        <w:rPr>
          <w:rFonts w:ascii="Arial" w:hAnsi="Arial" w:cs="Arial"/>
          <w:sz w:val="24"/>
          <w:szCs w:val="24"/>
        </w:rPr>
        <w:t xml:space="preserve"> council should be </w:t>
      </w:r>
      <w:r w:rsidR="007F5033" w:rsidRPr="00CE379D">
        <w:rPr>
          <w:rFonts w:ascii="Arial" w:hAnsi="Arial" w:cs="Arial"/>
          <w:sz w:val="24"/>
          <w:szCs w:val="24"/>
        </w:rPr>
        <w:t>created</w:t>
      </w:r>
      <w:r w:rsidRPr="00CE379D">
        <w:rPr>
          <w:rFonts w:ascii="Arial" w:hAnsi="Arial" w:cs="Arial"/>
          <w:sz w:val="24"/>
          <w:szCs w:val="24"/>
        </w:rPr>
        <w:t xml:space="preserve">. </w:t>
      </w:r>
      <w:r w:rsidR="008D73BE" w:rsidRPr="00CE379D">
        <w:rPr>
          <w:rFonts w:ascii="Arial" w:hAnsi="Arial" w:cs="Arial"/>
          <w:sz w:val="24"/>
          <w:szCs w:val="24"/>
        </w:rPr>
        <w:t>The request styles the proposed new council as “community”</w:t>
      </w:r>
      <w:proofErr w:type="gramStart"/>
      <w:r w:rsidR="008D73BE" w:rsidRPr="00CE379D">
        <w:rPr>
          <w:rFonts w:ascii="Arial" w:hAnsi="Arial" w:cs="Arial"/>
          <w:sz w:val="24"/>
          <w:szCs w:val="24"/>
        </w:rPr>
        <w:t>,</w:t>
      </w:r>
      <w:proofErr w:type="gramEnd"/>
      <w:r w:rsidR="008D73BE" w:rsidRPr="00CE379D">
        <w:rPr>
          <w:rFonts w:ascii="Arial" w:hAnsi="Arial" w:cs="Arial"/>
          <w:sz w:val="24"/>
          <w:szCs w:val="24"/>
        </w:rPr>
        <w:t xml:space="preserve"> this type of council is often </w:t>
      </w:r>
      <w:r w:rsidR="003467E5" w:rsidRPr="00CE379D">
        <w:rPr>
          <w:rFonts w:ascii="Arial" w:hAnsi="Arial" w:cs="Arial"/>
          <w:sz w:val="24"/>
          <w:szCs w:val="24"/>
        </w:rPr>
        <w:t>known as</w:t>
      </w:r>
      <w:r w:rsidR="008D73BE" w:rsidRPr="00CE379D">
        <w:rPr>
          <w:rFonts w:ascii="Arial" w:hAnsi="Arial" w:cs="Arial"/>
          <w:sz w:val="24"/>
          <w:szCs w:val="24"/>
        </w:rPr>
        <w:t xml:space="preserve"> “parish”.</w:t>
      </w:r>
    </w:p>
    <w:p w:rsidR="00070707" w:rsidRPr="00CE379D" w:rsidRDefault="00D33932" w:rsidP="00070707">
      <w:pPr>
        <w:rPr>
          <w:rFonts w:ascii="Arial" w:hAnsi="Arial" w:cs="Arial"/>
          <w:sz w:val="24"/>
          <w:szCs w:val="24"/>
        </w:rPr>
      </w:pPr>
      <w:r w:rsidRPr="00CE379D">
        <w:rPr>
          <w:rFonts w:ascii="Arial" w:hAnsi="Arial" w:cs="Arial"/>
          <w:sz w:val="24"/>
          <w:szCs w:val="24"/>
        </w:rPr>
        <w:t xml:space="preserve">There are </w:t>
      </w:r>
      <w:r w:rsidR="007F5033" w:rsidRPr="00CE379D">
        <w:rPr>
          <w:rFonts w:ascii="Arial" w:hAnsi="Arial" w:cs="Arial"/>
          <w:sz w:val="24"/>
          <w:szCs w:val="24"/>
        </w:rPr>
        <w:t>two</w:t>
      </w:r>
      <w:r w:rsidRPr="00CE379D">
        <w:rPr>
          <w:rFonts w:ascii="Arial" w:hAnsi="Arial" w:cs="Arial"/>
          <w:sz w:val="24"/>
          <w:szCs w:val="24"/>
        </w:rPr>
        <w:t xml:space="preserve"> </w:t>
      </w:r>
      <w:r w:rsidR="003467E5" w:rsidRPr="00CE379D">
        <w:rPr>
          <w:rFonts w:ascii="Arial" w:hAnsi="Arial" w:cs="Arial"/>
          <w:sz w:val="24"/>
          <w:szCs w:val="24"/>
        </w:rPr>
        <w:t>outcomes</w:t>
      </w:r>
      <w:r w:rsidRPr="00CE379D">
        <w:rPr>
          <w:rFonts w:ascii="Arial" w:hAnsi="Arial" w:cs="Arial"/>
          <w:sz w:val="24"/>
          <w:szCs w:val="24"/>
        </w:rPr>
        <w:t xml:space="preserve"> of the review</w:t>
      </w:r>
      <w:r w:rsidR="003467E5" w:rsidRPr="00CE379D">
        <w:rPr>
          <w:rFonts w:ascii="Arial" w:hAnsi="Arial" w:cs="Arial"/>
          <w:sz w:val="24"/>
          <w:szCs w:val="24"/>
        </w:rPr>
        <w:t>,</w:t>
      </w:r>
      <w:r w:rsidRPr="00CE379D">
        <w:rPr>
          <w:rFonts w:ascii="Arial" w:hAnsi="Arial" w:cs="Arial"/>
          <w:sz w:val="24"/>
          <w:szCs w:val="24"/>
        </w:rPr>
        <w:t xml:space="preserve"> depending on the results of the consultation. The review could recommend to Council that:</w:t>
      </w:r>
    </w:p>
    <w:p w:rsidR="00070707" w:rsidRPr="00CE379D" w:rsidRDefault="007F5033" w:rsidP="00070707">
      <w:pPr>
        <w:pStyle w:val="ListParagraph"/>
        <w:numPr>
          <w:ilvl w:val="0"/>
          <w:numId w:val="1"/>
        </w:numPr>
        <w:rPr>
          <w:rFonts w:ascii="Arial" w:hAnsi="Arial" w:cs="Arial"/>
          <w:sz w:val="24"/>
          <w:szCs w:val="24"/>
        </w:rPr>
      </w:pPr>
      <w:r w:rsidRPr="00CE379D">
        <w:rPr>
          <w:rFonts w:ascii="Arial" w:hAnsi="Arial" w:cs="Arial"/>
          <w:sz w:val="24"/>
          <w:szCs w:val="24"/>
        </w:rPr>
        <w:t>t</w:t>
      </w:r>
      <w:r w:rsidR="00D33932" w:rsidRPr="00CE379D">
        <w:rPr>
          <w:rFonts w:ascii="Arial" w:hAnsi="Arial" w:cs="Arial"/>
          <w:sz w:val="24"/>
          <w:szCs w:val="24"/>
        </w:rPr>
        <w:t>here should be no change to the existing arrangements;</w:t>
      </w:r>
    </w:p>
    <w:p w:rsidR="003678E6" w:rsidRPr="00CE379D" w:rsidRDefault="003678E6" w:rsidP="003678E6">
      <w:pPr>
        <w:pStyle w:val="ListParagraph"/>
        <w:rPr>
          <w:rFonts w:ascii="Arial" w:hAnsi="Arial" w:cs="Arial"/>
          <w:sz w:val="24"/>
          <w:szCs w:val="24"/>
        </w:rPr>
      </w:pPr>
    </w:p>
    <w:p w:rsidR="00070707" w:rsidRPr="00CE379D" w:rsidRDefault="007F5033" w:rsidP="00055CDD">
      <w:pPr>
        <w:pStyle w:val="ListParagraph"/>
        <w:numPr>
          <w:ilvl w:val="0"/>
          <w:numId w:val="1"/>
        </w:numPr>
        <w:rPr>
          <w:rFonts w:ascii="Arial" w:hAnsi="Arial" w:cs="Arial"/>
          <w:sz w:val="24"/>
          <w:szCs w:val="24"/>
        </w:rPr>
      </w:pPr>
      <w:r w:rsidRPr="00CE379D">
        <w:rPr>
          <w:rFonts w:ascii="Arial" w:hAnsi="Arial" w:cs="Arial"/>
          <w:sz w:val="24"/>
          <w:szCs w:val="24"/>
        </w:rPr>
        <w:t>a</w:t>
      </w:r>
      <w:r w:rsidR="008D73BE" w:rsidRPr="00CE379D">
        <w:rPr>
          <w:rFonts w:ascii="Arial" w:hAnsi="Arial" w:cs="Arial"/>
          <w:sz w:val="24"/>
          <w:szCs w:val="24"/>
        </w:rPr>
        <w:t xml:space="preserve"> community </w:t>
      </w:r>
      <w:r w:rsidRPr="00CE379D">
        <w:rPr>
          <w:rFonts w:ascii="Arial" w:hAnsi="Arial" w:cs="Arial"/>
          <w:sz w:val="24"/>
          <w:szCs w:val="24"/>
        </w:rPr>
        <w:t>council be created</w:t>
      </w:r>
      <w:r w:rsidR="00D33932" w:rsidRPr="00CE379D">
        <w:rPr>
          <w:rFonts w:ascii="Arial" w:hAnsi="Arial" w:cs="Arial"/>
          <w:sz w:val="24"/>
          <w:szCs w:val="24"/>
        </w:rPr>
        <w:t>;</w:t>
      </w:r>
    </w:p>
    <w:p w:rsidR="00070707" w:rsidRPr="00CE379D" w:rsidRDefault="00D33932" w:rsidP="00070707">
      <w:pPr>
        <w:rPr>
          <w:rFonts w:ascii="Arial" w:hAnsi="Arial" w:cs="Arial"/>
          <w:b/>
          <w:sz w:val="24"/>
          <w:szCs w:val="24"/>
          <w:u w:val="single"/>
        </w:rPr>
      </w:pPr>
      <w:r w:rsidRPr="00CE379D">
        <w:rPr>
          <w:rFonts w:ascii="Arial" w:hAnsi="Arial" w:cs="Arial"/>
          <w:b/>
          <w:sz w:val="24"/>
          <w:szCs w:val="24"/>
          <w:u w:val="single"/>
        </w:rPr>
        <w:t>Who carries out the Review?</w:t>
      </w:r>
    </w:p>
    <w:p w:rsidR="00070707" w:rsidRPr="00CE379D" w:rsidRDefault="00D33932" w:rsidP="00070707">
      <w:pPr>
        <w:rPr>
          <w:rFonts w:ascii="Arial" w:hAnsi="Arial" w:cs="Arial"/>
          <w:sz w:val="24"/>
          <w:szCs w:val="24"/>
        </w:rPr>
      </w:pPr>
      <w:r w:rsidRPr="00CE379D">
        <w:rPr>
          <w:rFonts w:ascii="Arial" w:hAnsi="Arial" w:cs="Arial"/>
          <w:sz w:val="24"/>
          <w:szCs w:val="24"/>
        </w:rPr>
        <w:t xml:space="preserve">The </w:t>
      </w:r>
      <w:r w:rsidR="007F5033" w:rsidRPr="00CE379D">
        <w:rPr>
          <w:rFonts w:ascii="Arial" w:hAnsi="Arial" w:cs="Arial"/>
          <w:sz w:val="24"/>
          <w:szCs w:val="24"/>
        </w:rPr>
        <w:t>City</w:t>
      </w:r>
      <w:r w:rsidRPr="00CE379D">
        <w:rPr>
          <w:rFonts w:ascii="Arial" w:hAnsi="Arial" w:cs="Arial"/>
          <w:sz w:val="24"/>
          <w:szCs w:val="24"/>
        </w:rPr>
        <w:t xml:space="preserve"> Council is responsible for conducting the review. A decision on whether or not to </w:t>
      </w:r>
      <w:r w:rsidR="007F5033" w:rsidRPr="00CE379D">
        <w:rPr>
          <w:rFonts w:ascii="Arial" w:hAnsi="Arial" w:cs="Arial"/>
          <w:sz w:val="24"/>
          <w:szCs w:val="24"/>
        </w:rPr>
        <w:t>create a new community council</w:t>
      </w:r>
      <w:r w:rsidRPr="00CE379D">
        <w:rPr>
          <w:rFonts w:ascii="Arial" w:hAnsi="Arial" w:cs="Arial"/>
          <w:sz w:val="24"/>
          <w:szCs w:val="24"/>
        </w:rPr>
        <w:t xml:space="preserve"> will be taken by </w:t>
      </w:r>
      <w:r w:rsidR="00062D13">
        <w:rPr>
          <w:rFonts w:ascii="Arial" w:hAnsi="Arial" w:cs="Arial"/>
          <w:sz w:val="24"/>
          <w:szCs w:val="24"/>
        </w:rPr>
        <w:t>c</w:t>
      </w:r>
      <w:r w:rsidR="00055CDD" w:rsidRPr="00CE379D">
        <w:rPr>
          <w:rFonts w:ascii="Arial" w:hAnsi="Arial" w:cs="Arial"/>
          <w:sz w:val="24"/>
          <w:szCs w:val="24"/>
        </w:rPr>
        <w:t>ity councillors</w:t>
      </w:r>
      <w:r w:rsidR="00062D13">
        <w:rPr>
          <w:rFonts w:ascii="Arial" w:hAnsi="Arial" w:cs="Arial"/>
          <w:sz w:val="24"/>
          <w:szCs w:val="24"/>
        </w:rPr>
        <w:t xml:space="preserve"> at a meeting of </w:t>
      </w:r>
      <w:r w:rsidRPr="00CE379D">
        <w:rPr>
          <w:rFonts w:ascii="Arial" w:hAnsi="Arial" w:cs="Arial"/>
          <w:sz w:val="24"/>
          <w:szCs w:val="24"/>
        </w:rPr>
        <w:t xml:space="preserve">Council in </w:t>
      </w:r>
      <w:r w:rsidR="00055CDD" w:rsidRPr="00CE379D">
        <w:rPr>
          <w:rFonts w:ascii="Arial" w:hAnsi="Arial" w:cs="Arial"/>
          <w:sz w:val="24"/>
          <w:szCs w:val="24"/>
        </w:rPr>
        <w:t>September 2019</w:t>
      </w:r>
      <w:r w:rsidRPr="00CE379D">
        <w:rPr>
          <w:rFonts w:ascii="Arial" w:hAnsi="Arial" w:cs="Arial"/>
          <w:sz w:val="24"/>
          <w:szCs w:val="24"/>
        </w:rPr>
        <w:t>.</w:t>
      </w:r>
    </w:p>
    <w:p w:rsidR="006D7E20" w:rsidRPr="00CE379D" w:rsidRDefault="003467E5" w:rsidP="00070707">
      <w:pPr>
        <w:rPr>
          <w:rFonts w:ascii="Arial" w:hAnsi="Arial" w:cs="Arial"/>
          <w:sz w:val="24"/>
          <w:szCs w:val="24"/>
        </w:rPr>
      </w:pPr>
      <w:r w:rsidRPr="00CE379D">
        <w:rPr>
          <w:rFonts w:ascii="Arial" w:hAnsi="Arial" w:cs="Arial"/>
          <w:sz w:val="24"/>
          <w:szCs w:val="24"/>
        </w:rPr>
        <w:t xml:space="preserve">A </w:t>
      </w:r>
      <w:r w:rsidR="00062D13">
        <w:rPr>
          <w:rFonts w:ascii="Arial" w:hAnsi="Arial" w:cs="Arial"/>
          <w:sz w:val="24"/>
          <w:szCs w:val="24"/>
        </w:rPr>
        <w:t xml:space="preserve">cross-party </w:t>
      </w:r>
      <w:r w:rsidRPr="00CE379D">
        <w:rPr>
          <w:rFonts w:ascii="Arial" w:hAnsi="Arial" w:cs="Arial"/>
          <w:sz w:val="24"/>
          <w:szCs w:val="24"/>
        </w:rPr>
        <w:t xml:space="preserve">member working group will be created to consider the </w:t>
      </w:r>
      <w:r w:rsidR="00B6545D" w:rsidRPr="00CE379D">
        <w:rPr>
          <w:rFonts w:ascii="Arial" w:hAnsi="Arial" w:cs="Arial"/>
          <w:sz w:val="24"/>
          <w:szCs w:val="24"/>
        </w:rPr>
        <w:t>respons</w:t>
      </w:r>
      <w:r w:rsidRPr="00CE379D">
        <w:rPr>
          <w:rFonts w:ascii="Arial" w:hAnsi="Arial" w:cs="Arial"/>
          <w:sz w:val="24"/>
          <w:szCs w:val="24"/>
        </w:rPr>
        <w:t>es to the review</w:t>
      </w:r>
      <w:r w:rsidR="00FA54F5" w:rsidRPr="00CE379D">
        <w:rPr>
          <w:rFonts w:ascii="Arial" w:hAnsi="Arial" w:cs="Arial"/>
          <w:sz w:val="24"/>
          <w:szCs w:val="24"/>
        </w:rPr>
        <w:t>, along with officers,</w:t>
      </w:r>
      <w:r w:rsidRPr="00CE379D">
        <w:rPr>
          <w:rFonts w:ascii="Arial" w:hAnsi="Arial" w:cs="Arial"/>
          <w:sz w:val="24"/>
          <w:szCs w:val="24"/>
        </w:rPr>
        <w:t xml:space="preserve"> to </w:t>
      </w:r>
      <w:r w:rsidR="00062D13">
        <w:rPr>
          <w:rFonts w:ascii="Arial" w:hAnsi="Arial" w:cs="Arial"/>
          <w:sz w:val="24"/>
          <w:szCs w:val="24"/>
        </w:rPr>
        <w:t xml:space="preserve">inform the final report to </w:t>
      </w:r>
      <w:r w:rsidRPr="00CE379D">
        <w:rPr>
          <w:rFonts w:ascii="Arial" w:hAnsi="Arial" w:cs="Arial"/>
          <w:sz w:val="24"/>
          <w:szCs w:val="24"/>
        </w:rPr>
        <w:t>Council later in 2019.</w:t>
      </w:r>
    </w:p>
    <w:p w:rsidR="00340C7E" w:rsidRPr="00CE379D" w:rsidRDefault="00340C7E" w:rsidP="00340C7E">
      <w:pPr>
        <w:rPr>
          <w:rFonts w:ascii="Arial" w:hAnsi="Arial" w:cs="Arial"/>
          <w:b/>
          <w:sz w:val="24"/>
          <w:szCs w:val="24"/>
          <w:u w:val="single"/>
        </w:rPr>
      </w:pPr>
      <w:r w:rsidRPr="00CE379D">
        <w:rPr>
          <w:rFonts w:ascii="Arial" w:hAnsi="Arial" w:cs="Arial"/>
          <w:b/>
          <w:sz w:val="24"/>
          <w:szCs w:val="24"/>
          <w:u w:val="single"/>
        </w:rPr>
        <w:t>What area is being reviewed?</w:t>
      </w:r>
    </w:p>
    <w:p w:rsidR="00340C7E" w:rsidRPr="00CE379D" w:rsidRDefault="00340C7E" w:rsidP="00340C7E">
      <w:pPr>
        <w:rPr>
          <w:rFonts w:ascii="Arial" w:hAnsi="Arial" w:cs="Arial"/>
          <w:sz w:val="24"/>
          <w:szCs w:val="24"/>
        </w:rPr>
      </w:pPr>
      <w:r w:rsidRPr="00CE379D">
        <w:rPr>
          <w:rFonts w:ascii="Arial" w:hAnsi="Arial" w:cs="Arial"/>
          <w:sz w:val="24"/>
          <w:szCs w:val="24"/>
        </w:rPr>
        <w:t xml:space="preserve">The area under review is the </w:t>
      </w:r>
      <w:r w:rsidR="003678E6" w:rsidRPr="00CE379D">
        <w:rPr>
          <w:rFonts w:ascii="Arial" w:hAnsi="Arial" w:cs="Arial"/>
          <w:sz w:val="24"/>
          <w:szCs w:val="24"/>
        </w:rPr>
        <w:t xml:space="preserve">Headington area covered by the neighbourhood planning referendum in 2017. This is made up of </w:t>
      </w:r>
      <w:r w:rsidR="00CB35F2" w:rsidRPr="00CE379D">
        <w:rPr>
          <w:rFonts w:ascii="Arial" w:hAnsi="Arial" w:cs="Arial"/>
          <w:sz w:val="24"/>
          <w:szCs w:val="24"/>
        </w:rPr>
        <w:t>the whole of Headington ward</w:t>
      </w:r>
      <w:r w:rsidR="003678E6" w:rsidRPr="00CE379D">
        <w:rPr>
          <w:rFonts w:ascii="Arial" w:hAnsi="Arial" w:cs="Arial"/>
          <w:sz w:val="24"/>
          <w:szCs w:val="24"/>
        </w:rPr>
        <w:t xml:space="preserve"> and parts of Barton &amp; Sandhills, Quarry &amp; Risinghurst, Churchill and Headington Hill &amp; Northway wards</w:t>
      </w:r>
      <w:r w:rsidR="00CB35F2" w:rsidRPr="00CE379D">
        <w:rPr>
          <w:rFonts w:ascii="Arial" w:hAnsi="Arial" w:cs="Arial"/>
          <w:sz w:val="24"/>
          <w:szCs w:val="24"/>
        </w:rPr>
        <w:t>.</w:t>
      </w:r>
    </w:p>
    <w:p w:rsidR="00CB35F2" w:rsidRDefault="00CB35F2" w:rsidP="00340C7E">
      <w:pPr>
        <w:rPr>
          <w:rFonts w:ascii="Arial" w:hAnsi="Arial" w:cs="Arial"/>
          <w:sz w:val="24"/>
          <w:szCs w:val="24"/>
        </w:rPr>
      </w:pPr>
      <w:r w:rsidRPr="00CE379D">
        <w:rPr>
          <w:rFonts w:ascii="Arial" w:hAnsi="Arial" w:cs="Arial"/>
          <w:sz w:val="24"/>
          <w:szCs w:val="24"/>
        </w:rPr>
        <w:lastRenderedPageBreak/>
        <w:t>A</w:t>
      </w:r>
      <w:r w:rsidR="00062D13">
        <w:rPr>
          <w:rFonts w:ascii="Arial" w:hAnsi="Arial" w:cs="Arial"/>
          <w:sz w:val="24"/>
          <w:szCs w:val="24"/>
        </w:rPr>
        <w:t xml:space="preserve">n indicative </w:t>
      </w:r>
      <w:r w:rsidRPr="00CE379D">
        <w:rPr>
          <w:rFonts w:ascii="Arial" w:hAnsi="Arial" w:cs="Arial"/>
          <w:sz w:val="24"/>
          <w:szCs w:val="24"/>
        </w:rPr>
        <w:t xml:space="preserve">map of the area covered </w:t>
      </w:r>
      <w:r w:rsidR="00062D13">
        <w:rPr>
          <w:rFonts w:ascii="Arial" w:hAnsi="Arial" w:cs="Arial"/>
          <w:sz w:val="24"/>
          <w:szCs w:val="24"/>
        </w:rPr>
        <w:t>is below:</w:t>
      </w:r>
    </w:p>
    <w:p w:rsidR="00062D13" w:rsidRPr="00CE379D" w:rsidRDefault="00062D13" w:rsidP="00340C7E">
      <w:pPr>
        <w:rPr>
          <w:rFonts w:ascii="Arial" w:hAnsi="Arial" w:cs="Arial"/>
          <w:sz w:val="24"/>
          <w:szCs w:val="24"/>
        </w:rPr>
      </w:pPr>
      <w:r>
        <w:rPr>
          <w:rFonts w:ascii="Arial" w:hAnsi="Arial" w:cs="Arial"/>
          <w:noProof/>
          <w:sz w:val="24"/>
          <w:szCs w:val="24"/>
          <w:lang w:eastAsia="en-GB"/>
        </w:rPr>
        <w:drawing>
          <wp:inline distT="0" distB="0" distL="0" distR="0">
            <wp:extent cx="5731510" cy="4018645"/>
            <wp:effectExtent l="0" t="0" r="2540" b="1270"/>
            <wp:docPr id="1" name="Picture 1" descr="U:\My User Profile\mjoh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User Profile\mjohn\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18645"/>
                    </a:xfrm>
                    <a:prstGeom prst="rect">
                      <a:avLst/>
                    </a:prstGeom>
                    <a:noFill/>
                    <a:ln>
                      <a:noFill/>
                    </a:ln>
                  </pic:spPr>
                </pic:pic>
              </a:graphicData>
            </a:graphic>
          </wp:inline>
        </w:drawing>
      </w:r>
    </w:p>
    <w:p w:rsidR="00340C7E" w:rsidRPr="00CE379D" w:rsidRDefault="00340C7E" w:rsidP="00340C7E">
      <w:pPr>
        <w:rPr>
          <w:rFonts w:ascii="Arial" w:hAnsi="Arial" w:cs="Arial"/>
          <w:sz w:val="24"/>
          <w:szCs w:val="24"/>
        </w:rPr>
      </w:pPr>
      <w:r w:rsidRPr="00CE379D">
        <w:rPr>
          <w:rFonts w:ascii="Arial" w:hAnsi="Arial" w:cs="Arial"/>
          <w:sz w:val="24"/>
          <w:szCs w:val="24"/>
        </w:rPr>
        <w:t xml:space="preserve">As part of the review the Council has to provide the number of electors in the area. If the Council recommends that a </w:t>
      </w:r>
      <w:r w:rsidR="00CB35F2" w:rsidRPr="00CE379D">
        <w:rPr>
          <w:rFonts w:ascii="Arial" w:hAnsi="Arial" w:cs="Arial"/>
          <w:sz w:val="24"/>
          <w:szCs w:val="24"/>
        </w:rPr>
        <w:t>community council</w:t>
      </w:r>
      <w:r w:rsidRPr="00CE379D">
        <w:rPr>
          <w:rFonts w:ascii="Arial" w:hAnsi="Arial" w:cs="Arial"/>
          <w:sz w:val="24"/>
          <w:szCs w:val="24"/>
        </w:rPr>
        <w:t xml:space="preserve"> should be set up, this information will be used to decide on the electoral arrangements, e.g. how many councillors on </w:t>
      </w:r>
      <w:r w:rsidR="00CB35F2" w:rsidRPr="00CE379D">
        <w:rPr>
          <w:rFonts w:ascii="Arial" w:hAnsi="Arial" w:cs="Arial"/>
          <w:sz w:val="24"/>
          <w:szCs w:val="24"/>
        </w:rPr>
        <w:t>the community council</w:t>
      </w:r>
      <w:r w:rsidRPr="00CE379D">
        <w:rPr>
          <w:rFonts w:ascii="Arial" w:hAnsi="Arial" w:cs="Arial"/>
          <w:sz w:val="24"/>
          <w:szCs w:val="24"/>
        </w:rPr>
        <w:t>.</w:t>
      </w:r>
    </w:p>
    <w:p w:rsidR="00340C7E" w:rsidRPr="00CE379D" w:rsidRDefault="00CB35F2" w:rsidP="00340C7E">
      <w:pPr>
        <w:rPr>
          <w:rFonts w:ascii="Arial" w:hAnsi="Arial" w:cs="Arial"/>
          <w:sz w:val="24"/>
          <w:szCs w:val="24"/>
        </w:rPr>
      </w:pPr>
      <w:r w:rsidRPr="00CE379D">
        <w:rPr>
          <w:rFonts w:ascii="Arial" w:hAnsi="Arial" w:cs="Arial"/>
          <w:sz w:val="24"/>
          <w:szCs w:val="24"/>
        </w:rPr>
        <w:t>The Council has used the r</w:t>
      </w:r>
      <w:r w:rsidR="00340C7E" w:rsidRPr="00CE379D">
        <w:rPr>
          <w:rFonts w:ascii="Arial" w:hAnsi="Arial" w:cs="Arial"/>
          <w:sz w:val="24"/>
          <w:szCs w:val="24"/>
        </w:rPr>
        <w:t xml:space="preserve">egister of electors of 1 </w:t>
      </w:r>
      <w:r w:rsidR="00A212B6" w:rsidRPr="00CE379D">
        <w:rPr>
          <w:rFonts w:ascii="Arial" w:hAnsi="Arial" w:cs="Arial"/>
          <w:sz w:val="24"/>
          <w:szCs w:val="24"/>
        </w:rPr>
        <w:t>January 2019</w:t>
      </w:r>
      <w:r w:rsidR="00340C7E" w:rsidRPr="00CE379D">
        <w:rPr>
          <w:rFonts w:ascii="Arial" w:hAnsi="Arial" w:cs="Arial"/>
          <w:sz w:val="24"/>
          <w:szCs w:val="24"/>
        </w:rPr>
        <w:t xml:space="preserve"> in providing the electorate figures which are:</w:t>
      </w:r>
    </w:p>
    <w:tbl>
      <w:tblPr>
        <w:tblStyle w:val="TableGrid"/>
        <w:tblW w:w="7088" w:type="dxa"/>
        <w:tblInd w:w="108" w:type="dxa"/>
        <w:tblLook w:val="04A0" w:firstRow="1" w:lastRow="0" w:firstColumn="1" w:lastColumn="0" w:noHBand="0" w:noVBand="1"/>
      </w:tblPr>
      <w:tblGrid>
        <w:gridCol w:w="2835"/>
        <w:gridCol w:w="2127"/>
        <w:gridCol w:w="2126"/>
      </w:tblGrid>
      <w:tr w:rsidR="00016A9F" w:rsidRPr="00CE379D" w:rsidTr="00016A9F">
        <w:tc>
          <w:tcPr>
            <w:tcW w:w="2835" w:type="dxa"/>
          </w:tcPr>
          <w:p w:rsidR="00016A9F" w:rsidRPr="00CE379D" w:rsidRDefault="00016A9F" w:rsidP="00070707">
            <w:pPr>
              <w:rPr>
                <w:rFonts w:ascii="Arial" w:hAnsi="Arial" w:cs="Arial"/>
                <w:b/>
                <w:sz w:val="24"/>
                <w:szCs w:val="24"/>
              </w:rPr>
            </w:pPr>
            <w:r w:rsidRPr="00CE379D">
              <w:rPr>
                <w:rFonts w:ascii="Arial" w:hAnsi="Arial" w:cs="Arial"/>
                <w:b/>
                <w:sz w:val="24"/>
                <w:szCs w:val="24"/>
              </w:rPr>
              <w:t>City ward</w:t>
            </w:r>
          </w:p>
        </w:tc>
        <w:tc>
          <w:tcPr>
            <w:tcW w:w="2127" w:type="dxa"/>
          </w:tcPr>
          <w:p w:rsidR="00016A9F" w:rsidRPr="00CE379D" w:rsidRDefault="00016A9F" w:rsidP="00070707">
            <w:pPr>
              <w:rPr>
                <w:rFonts w:ascii="Arial" w:hAnsi="Arial" w:cs="Arial"/>
                <w:b/>
                <w:sz w:val="24"/>
                <w:szCs w:val="24"/>
              </w:rPr>
            </w:pPr>
            <w:r w:rsidRPr="00CE379D">
              <w:rPr>
                <w:rFonts w:ascii="Arial" w:hAnsi="Arial" w:cs="Arial"/>
                <w:b/>
                <w:sz w:val="24"/>
                <w:szCs w:val="24"/>
              </w:rPr>
              <w:t>Current electors</w:t>
            </w:r>
          </w:p>
        </w:tc>
        <w:tc>
          <w:tcPr>
            <w:tcW w:w="2126" w:type="dxa"/>
          </w:tcPr>
          <w:p w:rsidR="00016A9F" w:rsidRPr="00CE379D" w:rsidRDefault="00016A9F" w:rsidP="00070707">
            <w:pPr>
              <w:rPr>
                <w:rFonts w:ascii="Arial" w:hAnsi="Arial" w:cs="Arial"/>
                <w:b/>
                <w:sz w:val="24"/>
                <w:szCs w:val="24"/>
              </w:rPr>
            </w:pPr>
            <w:r w:rsidRPr="00CE379D">
              <w:rPr>
                <w:rFonts w:ascii="Arial" w:hAnsi="Arial" w:cs="Arial"/>
                <w:b/>
                <w:sz w:val="24"/>
                <w:szCs w:val="24"/>
              </w:rPr>
              <w:t>Estimated electors in 2023</w:t>
            </w:r>
          </w:p>
        </w:tc>
      </w:tr>
      <w:tr w:rsidR="00016A9F" w:rsidRPr="00CE379D" w:rsidTr="00016A9F">
        <w:tc>
          <w:tcPr>
            <w:tcW w:w="2835" w:type="dxa"/>
          </w:tcPr>
          <w:p w:rsidR="00016A9F" w:rsidRPr="00CE379D" w:rsidRDefault="00016A9F" w:rsidP="00070707">
            <w:pPr>
              <w:rPr>
                <w:rFonts w:ascii="Arial" w:hAnsi="Arial" w:cs="Arial"/>
                <w:sz w:val="24"/>
                <w:szCs w:val="24"/>
              </w:rPr>
            </w:pPr>
            <w:r w:rsidRPr="00CE379D">
              <w:rPr>
                <w:rFonts w:ascii="Arial" w:hAnsi="Arial" w:cs="Arial"/>
                <w:sz w:val="24"/>
                <w:szCs w:val="24"/>
              </w:rPr>
              <w:t>Headington</w:t>
            </w:r>
          </w:p>
        </w:tc>
        <w:tc>
          <w:tcPr>
            <w:tcW w:w="2127"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4223</w:t>
            </w:r>
          </w:p>
        </w:tc>
        <w:tc>
          <w:tcPr>
            <w:tcW w:w="2126"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4545</w:t>
            </w:r>
          </w:p>
        </w:tc>
      </w:tr>
      <w:tr w:rsidR="00016A9F" w:rsidRPr="00CE379D" w:rsidTr="00016A9F">
        <w:tc>
          <w:tcPr>
            <w:tcW w:w="2835" w:type="dxa"/>
          </w:tcPr>
          <w:p w:rsidR="00016A9F" w:rsidRPr="00CE379D" w:rsidRDefault="00016A9F" w:rsidP="00070707">
            <w:pPr>
              <w:rPr>
                <w:rFonts w:ascii="Arial" w:hAnsi="Arial" w:cs="Arial"/>
                <w:sz w:val="24"/>
                <w:szCs w:val="24"/>
              </w:rPr>
            </w:pPr>
            <w:r w:rsidRPr="00CE379D">
              <w:rPr>
                <w:rFonts w:ascii="Arial" w:hAnsi="Arial" w:cs="Arial"/>
                <w:sz w:val="24"/>
                <w:szCs w:val="24"/>
              </w:rPr>
              <w:t>Headington Hill &amp; Northway (part)</w:t>
            </w:r>
          </w:p>
        </w:tc>
        <w:tc>
          <w:tcPr>
            <w:tcW w:w="2127"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739</w:t>
            </w:r>
          </w:p>
        </w:tc>
        <w:tc>
          <w:tcPr>
            <w:tcW w:w="2126"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1158</w:t>
            </w:r>
          </w:p>
        </w:tc>
      </w:tr>
      <w:tr w:rsidR="00016A9F" w:rsidRPr="00CE379D" w:rsidTr="00016A9F">
        <w:tc>
          <w:tcPr>
            <w:tcW w:w="2835" w:type="dxa"/>
          </w:tcPr>
          <w:p w:rsidR="00016A9F" w:rsidRPr="00CE379D" w:rsidRDefault="00016A9F" w:rsidP="008D73BE">
            <w:pPr>
              <w:rPr>
                <w:rFonts w:ascii="Arial" w:hAnsi="Arial" w:cs="Arial"/>
                <w:sz w:val="24"/>
                <w:szCs w:val="24"/>
              </w:rPr>
            </w:pPr>
            <w:r w:rsidRPr="00CE379D">
              <w:rPr>
                <w:rFonts w:ascii="Arial" w:hAnsi="Arial" w:cs="Arial"/>
                <w:sz w:val="24"/>
                <w:szCs w:val="24"/>
              </w:rPr>
              <w:t>Barton &amp; Sandhills (part)</w:t>
            </w:r>
          </w:p>
        </w:tc>
        <w:tc>
          <w:tcPr>
            <w:tcW w:w="2127"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955</w:t>
            </w:r>
          </w:p>
        </w:tc>
        <w:tc>
          <w:tcPr>
            <w:tcW w:w="2126"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970</w:t>
            </w:r>
          </w:p>
        </w:tc>
      </w:tr>
      <w:tr w:rsidR="00016A9F" w:rsidRPr="00CE379D" w:rsidTr="00016A9F">
        <w:tc>
          <w:tcPr>
            <w:tcW w:w="2835" w:type="dxa"/>
          </w:tcPr>
          <w:p w:rsidR="00016A9F" w:rsidRPr="00CE379D" w:rsidRDefault="00016A9F" w:rsidP="00070707">
            <w:pPr>
              <w:rPr>
                <w:rFonts w:ascii="Arial" w:hAnsi="Arial" w:cs="Arial"/>
                <w:sz w:val="24"/>
                <w:szCs w:val="24"/>
              </w:rPr>
            </w:pPr>
            <w:r w:rsidRPr="00CE379D">
              <w:rPr>
                <w:rFonts w:ascii="Arial" w:hAnsi="Arial" w:cs="Arial"/>
                <w:sz w:val="24"/>
                <w:szCs w:val="24"/>
              </w:rPr>
              <w:t>Churchill (part)</w:t>
            </w:r>
          </w:p>
        </w:tc>
        <w:tc>
          <w:tcPr>
            <w:tcW w:w="2127"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2174</w:t>
            </w:r>
          </w:p>
        </w:tc>
        <w:tc>
          <w:tcPr>
            <w:tcW w:w="2126"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2354</w:t>
            </w:r>
          </w:p>
        </w:tc>
      </w:tr>
      <w:tr w:rsidR="00016A9F" w:rsidRPr="00CE379D" w:rsidTr="00016A9F">
        <w:tc>
          <w:tcPr>
            <w:tcW w:w="2835" w:type="dxa"/>
          </w:tcPr>
          <w:p w:rsidR="00016A9F" w:rsidRPr="00CE379D" w:rsidRDefault="00016A9F" w:rsidP="00070707">
            <w:pPr>
              <w:rPr>
                <w:rFonts w:ascii="Arial" w:hAnsi="Arial" w:cs="Arial"/>
                <w:sz w:val="24"/>
                <w:szCs w:val="24"/>
              </w:rPr>
            </w:pPr>
            <w:r w:rsidRPr="00CE379D">
              <w:rPr>
                <w:rFonts w:ascii="Arial" w:hAnsi="Arial" w:cs="Arial"/>
                <w:sz w:val="24"/>
                <w:szCs w:val="24"/>
              </w:rPr>
              <w:t>Quarry &amp; Risinghurst (part)</w:t>
            </w:r>
          </w:p>
        </w:tc>
        <w:tc>
          <w:tcPr>
            <w:tcW w:w="2127"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2615</w:t>
            </w:r>
          </w:p>
        </w:tc>
        <w:tc>
          <w:tcPr>
            <w:tcW w:w="2126"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2711</w:t>
            </w:r>
          </w:p>
        </w:tc>
      </w:tr>
      <w:tr w:rsidR="00016A9F" w:rsidRPr="00CE379D" w:rsidTr="00016A9F">
        <w:tc>
          <w:tcPr>
            <w:tcW w:w="2835" w:type="dxa"/>
          </w:tcPr>
          <w:p w:rsidR="00016A9F" w:rsidRPr="00CE379D" w:rsidRDefault="00016A9F" w:rsidP="00070707">
            <w:pPr>
              <w:rPr>
                <w:rFonts w:ascii="Arial" w:hAnsi="Arial" w:cs="Arial"/>
                <w:sz w:val="24"/>
                <w:szCs w:val="24"/>
              </w:rPr>
            </w:pPr>
            <w:r w:rsidRPr="00CE379D">
              <w:rPr>
                <w:rFonts w:ascii="Arial" w:hAnsi="Arial" w:cs="Arial"/>
                <w:sz w:val="24"/>
                <w:szCs w:val="24"/>
              </w:rPr>
              <w:t>TOTALS</w:t>
            </w:r>
          </w:p>
        </w:tc>
        <w:tc>
          <w:tcPr>
            <w:tcW w:w="2127"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10708</w:t>
            </w:r>
          </w:p>
        </w:tc>
        <w:tc>
          <w:tcPr>
            <w:tcW w:w="2126" w:type="dxa"/>
          </w:tcPr>
          <w:p w:rsidR="00016A9F" w:rsidRPr="00CE379D" w:rsidRDefault="00016A9F" w:rsidP="00A212B6">
            <w:pPr>
              <w:jc w:val="right"/>
              <w:rPr>
                <w:rFonts w:ascii="Arial" w:hAnsi="Arial" w:cs="Arial"/>
                <w:sz w:val="24"/>
                <w:szCs w:val="24"/>
              </w:rPr>
            </w:pPr>
            <w:r w:rsidRPr="00CE379D">
              <w:rPr>
                <w:rFonts w:ascii="Arial" w:hAnsi="Arial" w:cs="Arial"/>
                <w:sz w:val="24"/>
                <w:szCs w:val="24"/>
              </w:rPr>
              <w:t>11738</w:t>
            </w:r>
          </w:p>
        </w:tc>
      </w:tr>
    </w:tbl>
    <w:p w:rsidR="00340C7E" w:rsidRPr="00CE379D" w:rsidRDefault="00340C7E" w:rsidP="00070707">
      <w:pPr>
        <w:rPr>
          <w:rFonts w:ascii="Arial" w:hAnsi="Arial" w:cs="Arial"/>
          <w:sz w:val="24"/>
          <w:szCs w:val="24"/>
        </w:rPr>
      </w:pPr>
    </w:p>
    <w:p w:rsidR="00A212B6" w:rsidRDefault="00A212B6" w:rsidP="00070707">
      <w:pPr>
        <w:rPr>
          <w:rFonts w:ascii="Arial" w:hAnsi="Arial" w:cs="Arial"/>
          <w:sz w:val="24"/>
          <w:szCs w:val="24"/>
        </w:rPr>
      </w:pPr>
      <w:r w:rsidRPr="00CE379D">
        <w:rPr>
          <w:rFonts w:ascii="Arial" w:hAnsi="Arial" w:cs="Arial"/>
          <w:sz w:val="24"/>
          <w:szCs w:val="24"/>
        </w:rPr>
        <w:t>The 2023 estimates take into account proposed developments in the area covered by the CGR.</w:t>
      </w:r>
    </w:p>
    <w:p w:rsidR="008A7A6E" w:rsidRPr="00CE379D" w:rsidRDefault="008A7A6E" w:rsidP="00070707">
      <w:pPr>
        <w:rPr>
          <w:rFonts w:ascii="Arial" w:hAnsi="Arial" w:cs="Arial"/>
          <w:sz w:val="24"/>
          <w:szCs w:val="24"/>
        </w:rPr>
      </w:pPr>
      <w:bookmarkStart w:id="0" w:name="_GoBack"/>
      <w:bookmarkEnd w:id="0"/>
    </w:p>
    <w:p w:rsidR="00CB21E7" w:rsidRPr="00CE379D" w:rsidRDefault="00CB21E7" w:rsidP="00070707">
      <w:pPr>
        <w:rPr>
          <w:rFonts w:ascii="Arial" w:hAnsi="Arial" w:cs="Arial"/>
          <w:b/>
          <w:sz w:val="24"/>
          <w:szCs w:val="24"/>
          <w:u w:val="single"/>
        </w:rPr>
      </w:pPr>
      <w:r w:rsidRPr="00CE379D">
        <w:rPr>
          <w:rFonts w:ascii="Arial" w:hAnsi="Arial" w:cs="Arial"/>
          <w:b/>
          <w:sz w:val="24"/>
          <w:szCs w:val="24"/>
          <w:u w:val="single"/>
        </w:rPr>
        <w:lastRenderedPageBreak/>
        <w:t>Who will we consult?</w:t>
      </w:r>
    </w:p>
    <w:p w:rsidR="00070707" w:rsidRPr="00CE379D" w:rsidRDefault="00D33932" w:rsidP="00CB21E7">
      <w:pPr>
        <w:rPr>
          <w:rFonts w:ascii="Arial" w:hAnsi="Arial" w:cs="Arial"/>
          <w:sz w:val="24"/>
          <w:szCs w:val="24"/>
        </w:rPr>
      </w:pPr>
      <w:r w:rsidRPr="00CE379D">
        <w:rPr>
          <w:rFonts w:ascii="Arial" w:hAnsi="Arial" w:cs="Arial"/>
          <w:sz w:val="24"/>
          <w:szCs w:val="24"/>
        </w:rPr>
        <w:t>A full consultation process will form part of the Review to take full account of the views of local people. The Act requires the Council to consult the local government electors for the area under review and any other person or body who appears to have an interest in the review and to take the representations that are received into account.</w:t>
      </w:r>
    </w:p>
    <w:p w:rsidR="00070707" w:rsidRPr="00CE379D" w:rsidRDefault="00D33932" w:rsidP="00070707">
      <w:pPr>
        <w:rPr>
          <w:rFonts w:ascii="Arial" w:hAnsi="Arial" w:cs="Arial"/>
          <w:sz w:val="24"/>
          <w:szCs w:val="24"/>
        </w:rPr>
      </w:pPr>
      <w:r w:rsidRPr="00CE379D">
        <w:rPr>
          <w:rFonts w:ascii="Arial" w:hAnsi="Arial" w:cs="Arial"/>
          <w:sz w:val="24"/>
          <w:szCs w:val="24"/>
        </w:rPr>
        <w:t>The Council will also identify any other person or body who it feels may have an interest in the review and write to them inviting them to submit their views at both stages of consultation.</w:t>
      </w:r>
    </w:p>
    <w:p w:rsidR="00070707" w:rsidRPr="00CE379D" w:rsidRDefault="00D33932" w:rsidP="00070707">
      <w:pPr>
        <w:rPr>
          <w:rFonts w:ascii="Arial" w:hAnsi="Arial" w:cs="Arial"/>
          <w:sz w:val="24"/>
          <w:szCs w:val="24"/>
        </w:rPr>
      </w:pPr>
      <w:r w:rsidRPr="00CE379D">
        <w:rPr>
          <w:rFonts w:ascii="Arial" w:hAnsi="Arial" w:cs="Arial"/>
          <w:sz w:val="24"/>
          <w:szCs w:val="24"/>
        </w:rPr>
        <w:t>This will include</w:t>
      </w:r>
      <w:r w:rsidR="00062D13">
        <w:rPr>
          <w:rFonts w:ascii="Arial" w:hAnsi="Arial" w:cs="Arial"/>
          <w:sz w:val="24"/>
          <w:szCs w:val="24"/>
        </w:rPr>
        <w:t xml:space="preserve"> but are not restricted to</w:t>
      </w:r>
      <w:r w:rsidRPr="00CE379D">
        <w:rPr>
          <w:rFonts w:ascii="Arial" w:hAnsi="Arial" w:cs="Arial"/>
          <w:sz w:val="24"/>
          <w:szCs w:val="24"/>
        </w:rPr>
        <w:t>:</w:t>
      </w:r>
    </w:p>
    <w:p w:rsidR="00070707" w:rsidRPr="00CE379D" w:rsidRDefault="002B5C29" w:rsidP="00070707">
      <w:pPr>
        <w:pStyle w:val="ListParagraph"/>
        <w:numPr>
          <w:ilvl w:val="0"/>
          <w:numId w:val="3"/>
        </w:numPr>
        <w:rPr>
          <w:rFonts w:ascii="Arial" w:hAnsi="Arial" w:cs="Arial"/>
          <w:sz w:val="24"/>
          <w:szCs w:val="24"/>
        </w:rPr>
      </w:pPr>
      <w:r w:rsidRPr="00CE379D">
        <w:rPr>
          <w:rFonts w:ascii="Arial" w:hAnsi="Arial" w:cs="Arial"/>
          <w:sz w:val="24"/>
          <w:szCs w:val="24"/>
        </w:rPr>
        <w:t>city</w:t>
      </w:r>
      <w:r w:rsidR="00D33932" w:rsidRPr="00CE379D">
        <w:rPr>
          <w:rFonts w:ascii="Arial" w:hAnsi="Arial" w:cs="Arial"/>
          <w:sz w:val="24"/>
          <w:szCs w:val="24"/>
        </w:rPr>
        <w:t xml:space="preserve"> </w:t>
      </w:r>
      <w:r w:rsidR="00CB35F2" w:rsidRPr="00CE379D">
        <w:rPr>
          <w:rFonts w:ascii="Arial" w:hAnsi="Arial" w:cs="Arial"/>
          <w:sz w:val="24"/>
          <w:szCs w:val="24"/>
        </w:rPr>
        <w:t>councillors</w:t>
      </w:r>
    </w:p>
    <w:p w:rsidR="00070707" w:rsidRPr="00CE379D" w:rsidRDefault="00CB35F2" w:rsidP="00070707">
      <w:pPr>
        <w:pStyle w:val="ListParagraph"/>
        <w:numPr>
          <w:ilvl w:val="0"/>
          <w:numId w:val="3"/>
        </w:numPr>
        <w:rPr>
          <w:rFonts w:ascii="Arial" w:hAnsi="Arial" w:cs="Arial"/>
          <w:sz w:val="24"/>
          <w:szCs w:val="24"/>
        </w:rPr>
      </w:pPr>
      <w:r w:rsidRPr="00CE379D">
        <w:rPr>
          <w:rFonts w:ascii="Arial" w:hAnsi="Arial" w:cs="Arial"/>
          <w:sz w:val="24"/>
          <w:szCs w:val="24"/>
        </w:rPr>
        <w:t>t</w:t>
      </w:r>
      <w:r w:rsidR="00D33932" w:rsidRPr="00CE379D">
        <w:rPr>
          <w:rFonts w:ascii="Arial" w:hAnsi="Arial" w:cs="Arial"/>
          <w:sz w:val="24"/>
          <w:szCs w:val="24"/>
        </w:rPr>
        <w:t xml:space="preserve">enants and </w:t>
      </w:r>
      <w:r w:rsidRPr="00CE379D">
        <w:rPr>
          <w:rFonts w:ascii="Arial" w:hAnsi="Arial" w:cs="Arial"/>
          <w:sz w:val="24"/>
          <w:szCs w:val="24"/>
        </w:rPr>
        <w:t>r</w:t>
      </w:r>
      <w:r w:rsidR="00D33932" w:rsidRPr="00CE379D">
        <w:rPr>
          <w:rFonts w:ascii="Arial" w:hAnsi="Arial" w:cs="Arial"/>
          <w:sz w:val="24"/>
          <w:szCs w:val="24"/>
        </w:rPr>
        <w:t xml:space="preserve">esidents’ </w:t>
      </w:r>
      <w:r w:rsidRPr="00CE379D">
        <w:rPr>
          <w:rFonts w:ascii="Arial" w:hAnsi="Arial" w:cs="Arial"/>
          <w:sz w:val="24"/>
          <w:szCs w:val="24"/>
        </w:rPr>
        <w:t>a</w:t>
      </w:r>
      <w:r w:rsidR="00D33932" w:rsidRPr="00CE379D">
        <w:rPr>
          <w:rFonts w:ascii="Arial" w:hAnsi="Arial" w:cs="Arial"/>
          <w:sz w:val="24"/>
          <w:szCs w:val="24"/>
        </w:rPr>
        <w:t>ssociations</w:t>
      </w:r>
    </w:p>
    <w:p w:rsidR="00070707" w:rsidRPr="00CE379D" w:rsidRDefault="00CB35F2" w:rsidP="00070707">
      <w:pPr>
        <w:pStyle w:val="ListParagraph"/>
        <w:numPr>
          <w:ilvl w:val="0"/>
          <w:numId w:val="3"/>
        </w:numPr>
        <w:rPr>
          <w:rFonts w:ascii="Arial" w:hAnsi="Arial" w:cs="Arial"/>
          <w:sz w:val="24"/>
          <w:szCs w:val="24"/>
        </w:rPr>
      </w:pPr>
      <w:r w:rsidRPr="00CE379D">
        <w:rPr>
          <w:rFonts w:ascii="Arial" w:hAnsi="Arial" w:cs="Arial"/>
          <w:sz w:val="24"/>
          <w:szCs w:val="24"/>
        </w:rPr>
        <w:t>g</w:t>
      </w:r>
      <w:r w:rsidR="00D33932" w:rsidRPr="00CE379D">
        <w:rPr>
          <w:rFonts w:ascii="Arial" w:hAnsi="Arial" w:cs="Arial"/>
          <w:sz w:val="24"/>
          <w:szCs w:val="24"/>
        </w:rPr>
        <w:t xml:space="preserve">roups and </w:t>
      </w:r>
      <w:r w:rsidRPr="00CE379D">
        <w:rPr>
          <w:rFonts w:ascii="Arial" w:hAnsi="Arial" w:cs="Arial"/>
          <w:sz w:val="24"/>
          <w:szCs w:val="24"/>
        </w:rPr>
        <w:t>s</w:t>
      </w:r>
      <w:r w:rsidR="00D33932" w:rsidRPr="00CE379D">
        <w:rPr>
          <w:rFonts w:ascii="Arial" w:hAnsi="Arial" w:cs="Arial"/>
          <w:sz w:val="24"/>
          <w:szCs w:val="24"/>
        </w:rPr>
        <w:t>ocieties</w:t>
      </w:r>
    </w:p>
    <w:p w:rsidR="00070707" w:rsidRPr="00CE379D" w:rsidRDefault="00CB35F2" w:rsidP="00070707">
      <w:pPr>
        <w:pStyle w:val="ListParagraph"/>
        <w:numPr>
          <w:ilvl w:val="0"/>
          <w:numId w:val="3"/>
        </w:numPr>
        <w:rPr>
          <w:rFonts w:ascii="Arial" w:hAnsi="Arial" w:cs="Arial"/>
          <w:sz w:val="24"/>
          <w:szCs w:val="24"/>
        </w:rPr>
      </w:pPr>
      <w:r w:rsidRPr="00CE379D">
        <w:rPr>
          <w:rFonts w:ascii="Arial" w:hAnsi="Arial" w:cs="Arial"/>
          <w:sz w:val="24"/>
          <w:szCs w:val="24"/>
        </w:rPr>
        <w:t>s</w:t>
      </w:r>
      <w:r w:rsidR="00D33932" w:rsidRPr="00CE379D">
        <w:rPr>
          <w:rFonts w:ascii="Arial" w:hAnsi="Arial" w:cs="Arial"/>
          <w:sz w:val="24"/>
          <w:szCs w:val="24"/>
        </w:rPr>
        <w:t xml:space="preserve">chools and </w:t>
      </w:r>
      <w:r w:rsidRPr="00CE379D">
        <w:rPr>
          <w:rFonts w:ascii="Arial" w:hAnsi="Arial" w:cs="Arial"/>
          <w:sz w:val="24"/>
          <w:szCs w:val="24"/>
        </w:rPr>
        <w:t>c</w:t>
      </w:r>
      <w:r w:rsidR="00D33932" w:rsidRPr="00CE379D">
        <w:rPr>
          <w:rFonts w:ascii="Arial" w:hAnsi="Arial" w:cs="Arial"/>
          <w:sz w:val="24"/>
          <w:szCs w:val="24"/>
        </w:rPr>
        <w:t>olleges</w:t>
      </w:r>
    </w:p>
    <w:p w:rsidR="00070707" w:rsidRPr="00CE379D" w:rsidRDefault="003467E5" w:rsidP="00070707">
      <w:pPr>
        <w:pStyle w:val="ListParagraph"/>
        <w:numPr>
          <w:ilvl w:val="0"/>
          <w:numId w:val="3"/>
        </w:numPr>
        <w:rPr>
          <w:rFonts w:ascii="Arial" w:hAnsi="Arial" w:cs="Arial"/>
          <w:sz w:val="24"/>
          <w:szCs w:val="24"/>
        </w:rPr>
      </w:pPr>
      <w:r w:rsidRPr="00CE379D">
        <w:rPr>
          <w:rFonts w:ascii="Arial" w:hAnsi="Arial" w:cs="Arial"/>
          <w:sz w:val="24"/>
          <w:szCs w:val="24"/>
        </w:rPr>
        <w:t>Member</w:t>
      </w:r>
      <w:r w:rsidR="00D33932" w:rsidRPr="00CE379D">
        <w:rPr>
          <w:rFonts w:ascii="Arial" w:hAnsi="Arial" w:cs="Arial"/>
          <w:sz w:val="24"/>
          <w:szCs w:val="24"/>
        </w:rPr>
        <w:t xml:space="preserve"> of Parliament</w:t>
      </w:r>
    </w:p>
    <w:p w:rsidR="00070707" w:rsidRPr="00CE379D" w:rsidRDefault="00CB35F2" w:rsidP="00070707">
      <w:pPr>
        <w:pStyle w:val="ListParagraph"/>
        <w:numPr>
          <w:ilvl w:val="0"/>
          <w:numId w:val="3"/>
        </w:numPr>
        <w:rPr>
          <w:rFonts w:ascii="Arial" w:hAnsi="Arial" w:cs="Arial"/>
          <w:sz w:val="24"/>
          <w:szCs w:val="24"/>
        </w:rPr>
      </w:pPr>
      <w:r w:rsidRPr="00CE379D">
        <w:rPr>
          <w:rFonts w:ascii="Arial" w:hAnsi="Arial" w:cs="Arial"/>
          <w:sz w:val="24"/>
          <w:szCs w:val="24"/>
        </w:rPr>
        <w:t>Oxfordshire</w:t>
      </w:r>
      <w:r w:rsidR="00D33932" w:rsidRPr="00CE379D">
        <w:rPr>
          <w:rFonts w:ascii="Arial" w:hAnsi="Arial" w:cs="Arial"/>
          <w:sz w:val="24"/>
          <w:szCs w:val="24"/>
        </w:rPr>
        <w:t xml:space="preserve"> Association of Local Councils</w:t>
      </w:r>
    </w:p>
    <w:p w:rsidR="00070707" w:rsidRPr="00CE379D" w:rsidRDefault="00CB35F2" w:rsidP="00070707">
      <w:pPr>
        <w:pStyle w:val="ListParagraph"/>
        <w:numPr>
          <w:ilvl w:val="0"/>
          <w:numId w:val="3"/>
        </w:numPr>
        <w:rPr>
          <w:rFonts w:ascii="Arial" w:hAnsi="Arial" w:cs="Arial"/>
          <w:sz w:val="24"/>
          <w:szCs w:val="24"/>
        </w:rPr>
      </w:pPr>
      <w:r w:rsidRPr="00CE379D">
        <w:rPr>
          <w:rFonts w:ascii="Arial" w:hAnsi="Arial" w:cs="Arial"/>
          <w:sz w:val="24"/>
          <w:szCs w:val="24"/>
        </w:rPr>
        <w:t>l</w:t>
      </w:r>
      <w:r w:rsidR="00D33932" w:rsidRPr="00CE379D">
        <w:rPr>
          <w:rFonts w:ascii="Arial" w:hAnsi="Arial" w:cs="Arial"/>
          <w:sz w:val="24"/>
          <w:szCs w:val="24"/>
        </w:rPr>
        <w:t xml:space="preserve">ocal </w:t>
      </w:r>
      <w:r w:rsidRPr="00CE379D">
        <w:rPr>
          <w:rFonts w:ascii="Arial" w:hAnsi="Arial" w:cs="Arial"/>
          <w:sz w:val="24"/>
          <w:szCs w:val="24"/>
        </w:rPr>
        <w:t>political p</w:t>
      </w:r>
      <w:r w:rsidR="00D33932" w:rsidRPr="00CE379D">
        <w:rPr>
          <w:rFonts w:ascii="Arial" w:hAnsi="Arial" w:cs="Arial"/>
          <w:sz w:val="24"/>
          <w:szCs w:val="24"/>
        </w:rPr>
        <w:t>arties</w:t>
      </w:r>
    </w:p>
    <w:p w:rsidR="00070707" w:rsidRPr="00CE379D" w:rsidRDefault="00CB35F2" w:rsidP="00070707">
      <w:pPr>
        <w:pStyle w:val="ListParagraph"/>
        <w:numPr>
          <w:ilvl w:val="0"/>
          <w:numId w:val="3"/>
        </w:numPr>
        <w:rPr>
          <w:rFonts w:ascii="Arial" w:hAnsi="Arial" w:cs="Arial"/>
          <w:sz w:val="24"/>
          <w:szCs w:val="24"/>
        </w:rPr>
      </w:pPr>
      <w:r w:rsidRPr="00CE379D">
        <w:rPr>
          <w:rFonts w:ascii="Arial" w:hAnsi="Arial" w:cs="Arial"/>
          <w:sz w:val="24"/>
          <w:szCs w:val="24"/>
        </w:rPr>
        <w:t>the County Council and county councillors for the area</w:t>
      </w:r>
    </w:p>
    <w:p w:rsidR="00070707" w:rsidRPr="00CE379D" w:rsidRDefault="00D33932" w:rsidP="00070707">
      <w:pPr>
        <w:rPr>
          <w:rFonts w:ascii="Arial" w:hAnsi="Arial" w:cs="Arial"/>
          <w:sz w:val="24"/>
          <w:szCs w:val="24"/>
        </w:rPr>
      </w:pPr>
      <w:r w:rsidRPr="00CE379D">
        <w:rPr>
          <w:rFonts w:ascii="Arial" w:hAnsi="Arial" w:cs="Arial"/>
          <w:sz w:val="24"/>
          <w:szCs w:val="24"/>
        </w:rPr>
        <w:t>The Council will also be pleased to receive comments from any other person or body that wishes to make representations.</w:t>
      </w:r>
    </w:p>
    <w:p w:rsidR="00070707" w:rsidRPr="00CE379D" w:rsidRDefault="00D33932" w:rsidP="00070707">
      <w:pPr>
        <w:rPr>
          <w:rFonts w:ascii="Arial" w:hAnsi="Arial" w:cs="Arial"/>
          <w:sz w:val="24"/>
          <w:szCs w:val="24"/>
        </w:rPr>
      </w:pPr>
      <w:r w:rsidRPr="00CE379D">
        <w:rPr>
          <w:rFonts w:ascii="Arial" w:hAnsi="Arial" w:cs="Arial"/>
          <w:sz w:val="24"/>
          <w:szCs w:val="24"/>
        </w:rPr>
        <w:t xml:space="preserve">As required by Section 79(3) of the Local Government and Public Involvement in Health Act 2007, the Council will notify </w:t>
      </w:r>
      <w:r w:rsidR="00CB35F2" w:rsidRPr="00CE379D">
        <w:rPr>
          <w:rFonts w:ascii="Arial" w:hAnsi="Arial" w:cs="Arial"/>
          <w:sz w:val="24"/>
          <w:szCs w:val="24"/>
        </w:rPr>
        <w:t>Oxford</w:t>
      </w:r>
      <w:r w:rsidRPr="00CE379D">
        <w:rPr>
          <w:rFonts w:ascii="Arial" w:hAnsi="Arial" w:cs="Arial"/>
          <w:sz w:val="24"/>
          <w:szCs w:val="24"/>
        </w:rPr>
        <w:t xml:space="preserve">shire County Council that a review is to be undertaken, provide </w:t>
      </w:r>
      <w:r w:rsidR="00CB35F2" w:rsidRPr="00CE379D">
        <w:rPr>
          <w:rFonts w:ascii="Arial" w:hAnsi="Arial" w:cs="Arial"/>
          <w:sz w:val="24"/>
          <w:szCs w:val="24"/>
        </w:rPr>
        <w:t>it</w:t>
      </w:r>
      <w:r w:rsidRPr="00CE379D">
        <w:rPr>
          <w:rFonts w:ascii="Arial" w:hAnsi="Arial" w:cs="Arial"/>
          <w:sz w:val="24"/>
          <w:szCs w:val="24"/>
        </w:rPr>
        <w:t xml:space="preserve"> with a copy of the terms of reference for the review and will consult </w:t>
      </w:r>
      <w:r w:rsidR="00CB35F2" w:rsidRPr="00CE379D">
        <w:rPr>
          <w:rFonts w:ascii="Arial" w:hAnsi="Arial" w:cs="Arial"/>
          <w:sz w:val="24"/>
          <w:szCs w:val="24"/>
        </w:rPr>
        <w:t>it</w:t>
      </w:r>
      <w:r w:rsidRPr="00CE379D">
        <w:rPr>
          <w:rFonts w:ascii="Arial" w:hAnsi="Arial" w:cs="Arial"/>
          <w:sz w:val="24"/>
          <w:szCs w:val="24"/>
        </w:rPr>
        <w:t xml:space="preserve"> on the matters under review.</w:t>
      </w:r>
    </w:p>
    <w:p w:rsidR="00070707" w:rsidRPr="00CE379D" w:rsidRDefault="00D33932" w:rsidP="00070707">
      <w:pPr>
        <w:rPr>
          <w:rFonts w:ascii="Arial" w:hAnsi="Arial" w:cs="Arial"/>
          <w:sz w:val="24"/>
          <w:szCs w:val="24"/>
        </w:rPr>
      </w:pPr>
      <w:r w:rsidRPr="00CE379D">
        <w:rPr>
          <w:rFonts w:ascii="Arial" w:hAnsi="Arial" w:cs="Arial"/>
          <w:sz w:val="24"/>
          <w:szCs w:val="24"/>
        </w:rPr>
        <w:t>The Council intends to clearly publish all decisions taken and the reasons for taking those decisions and will work towards the Government’s view that “Community Governance Reviews should be conducted transparently so that local people and other stakeholders who may have an interest are made aware of the outcome of the decisions taken on them and the reasons behind these decisions.”</w:t>
      </w:r>
    </w:p>
    <w:p w:rsidR="00CB21E7" w:rsidRPr="00CE379D" w:rsidRDefault="00CB21E7" w:rsidP="00070707">
      <w:pPr>
        <w:rPr>
          <w:rFonts w:ascii="Arial" w:hAnsi="Arial" w:cs="Arial"/>
          <w:b/>
          <w:sz w:val="24"/>
          <w:szCs w:val="24"/>
          <w:u w:val="single"/>
        </w:rPr>
      </w:pPr>
      <w:r w:rsidRPr="00CE379D">
        <w:rPr>
          <w:rFonts w:ascii="Arial" w:hAnsi="Arial" w:cs="Arial"/>
          <w:b/>
          <w:sz w:val="24"/>
          <w:szCs w:val="24"/>
          <w:u w:val="single"/>
        </w:rPr>
        <w:t>What matters will the review focus on?</w:t>
      </w:r>
    </w:p>
    <w:p w:rsidR="00CB21E7" w:rsidRPr="00CE379D" w:rsidRDefault="00CB21E7" w:rsidP="00CB21E7">
      <w:pPr>
        <w:rPr>
          <w:rFonts w:ascii="Arial" w:hAnsi="Arial" w:cs="Arial"/>
          <w:sz w:val="24"/>
          <w:szCs w:val="24"/>
        </w:rPr>
      </w:pPr>
      <w:r w:rsidRPr="00CE379D">
        <w:rPr>
          <w:rFonts w:ascii="Arial" w:hAnsi="Arial" w:cs="Arial"/>
          <w:sz w:val="24"/>
          <w:szCs w:val="24"/>
        </w:rPr>
        <w:t>The recommendations made in a community governance review have two main objectives:</w:t>
      </w:r>
    </w:p>
    <w:p w:rsidR="00CB21E7" w:rsidRPr="00CE379D" w:rsidRDefault="00CB35F2" w:rsidP="00CB21E7">
      <w:pPr>
        <w:pStyle w:val="ListParagraph"/>
        <w:numPr>
          <w:ilvl w:val="0"/>
          <w:numId w:val="2"/>
        </w:numPr>
        <w:rPr>
          <w:rFonts w:ascii="Arial" w:hAnsi="Arial" w:cs="Arial"/>
          <w:sz w:val="24"/>
          <w:szCs w:val="24"/>
        </w:rPr>
      </w:pPr>
      <w:r w:rsidRPr="00CE379D">
        <w:rPr>
          <w:rFonts w:ascii="Arial" w:hAnsi="Arial" w:cs="Arial"/>
          <w:sz w:val="24"/>
          <w:szCs w:val="24"/>
        </w:rPr>
        <w:t>t</w:t>
      </w:r>
      <w:r w:rsidR="00CB21E7" w:rsidRPr="00CE379D">
        <w:rPr>
          <w:rFonts w:ascii="Arial" w:hAnsi="Arial" w:cs="Arial"/>
          <w:sz w:val="24"/>
          <w:szCs w:val="24"/>
        </w:rPr>
        <w:t>o improve community engagement and better local democracy; and</w:t>
      </w:r>
    </w:p>
    <w:p w:rsidR="00CB21E7" w:rsidRPr="00CE379D" w:rsidRDefault="00CB35F2" w:rsidP="00CB21E7">
      <w:pPr>
        <w:pStyle w:val="ListParagraph"/>
        <w:numPr>
          <w:ilvl w:val="0"/>
          <w:numId w:val="2"/>
        </w:numPr>
        <w:rPr>
          <w:rFonts w:ascii="Arial" w:hAnsi="Arial" w:cs="Arial"/>
          <w:sz w:val="24"/>
          <w:szCs w:val="24"/>
        </w:rPr>
      </w:pPr>
      <w:proofErr w:type="gramStart"/>
      <w:r w:rsidRPr="00CE379D">
        <w:rPr>
          <w:rFonts w:ascii="Arial" w:hAnsi="Arial" w:cs="Arial"/>
          <w:sz w:val="24"/>
          <w:szCs w:val="24"/>
        </w:rPr>
        <w:t>m</w:t>
      </w:r>
      <w:r w:rsidR="00CB21E7" w:rsidRPr="00CE379D">
        <w:rPr>
          <w:rFonts w:ascii="Arial" w:hAnsi="Arial" w:cs="Arial"/>
          <w:sz w:val="24"/>
          <w:szCs w:val="24"/>
        </w:rPr>
        <w:t>ore</w:t>
      </w:r>
      <w:proofErr w:type="gramEnd"/>
      <w:r w:rsidR="00CB21E7" w:rsidRPr="00CE379D">
        <w:rPr>
          <w:rFonts w:ascii="Arial" w:hAnsi="Arial" w:cs="Arial"/>
          <w:sz w:val="24"/>
          <w:szCs w:val="24"/>
        </w:rPr>
        <w:t xml:space="preserve"> effective and convenient delivery of local services.</w:t>
      </w:r>
    </w:p>
    <w:p w:rsidR="00CB21E7" w:rsidRPr="00CE379D" w:rsidRDefault="00CB21E7" w:rsidP="00CB21E7">
      <w:pPr>
        <w:rPr>
          <w:rFonts w:ascii="Arial" w:hAnsi="Arial" w:cs="Arial"/>
          <w:sz w:val="24"/>
          <w:szCs w:val="24"/>
        </w:rPr>
      </w:pPr>
      <w:r w:rsidRPr="00CE379D">
        <w:rPr>
          <w:rFonts w:ascii="Arial" w:hAnsi="Arial" w:cs="Arial"/>
          <w:sz w:val="24"/>
          <w:szCs w:val="24"/>
        </w:rPr>
        <w:t xml:space="preserve">The review must ensure that community governance within the area under review reflects the identities and interests of the community in that area and is effective and </w:t>
      </w:r>
      <w:r w:rsidRPr="00CE379D">
        <w:rPr>
          <w:rFonts w:ascii="Arial" w:hAnsi="Arial" w:cs="Arial"/>
          <w:sz w:val="24"/>
          <w:szCs w:val="24"/>
        </w:rPr>
        <w:lastRenderedPageBreak/>
        <w:t>convenient. It must also take into account any existing arrangement</w:t>
      </w:r>
      <w:r w:rsidR="003467E5" w:rsidRPr="00CE379D">
        <w:rPr>
          <w:rFonts w:ascii="Arial" w:hAnsi="Arial" w:cs="Arial"/>
          <w:sz w:val="24"/>
          <w:szCs w:val="24"/>
        </w:rPr>
        <w:t>s such as community or resident</w:t>
      </w:r>
      <w:r w:rsidRPr="00CE379D">
        <w:rPr>
          <w:rFonts w:ascii="Arial" w:hAnsi="Arial" w:cs="Arial"/>
          <w:sz w:val="24"/>
          <w:szCs w:val="24"/>
        </w:rPr>
        <w:t>s</w:t>
      </w:r>
      <w:r w:rsidR="003467E5" w:rsidRPr="00CE379D">
        <w:rPr>
          <w:rFonts w:ascii="Arial" w:hAnsi="Arial" w:cs="Arial"/>
          <w:sz w:val="24"/>
          <w:szCs w:val="24"/>
        </w:rPr>
        <w:t>’</w:t>
      </w:r>
      <w:r w:rsidRPr="00CE379D">
        <w:rPr>
          <w:rFonts w:ascii="Arial" w:hAnsi="Arial" w:cs="Arial"/>
          <w:sz w:val="24"/>
          <w:szCs w:val="24"/>
        </w:rPr>
        <w:t xml:space="preserve"> associations</w:t>
      </w:r>
      <w:r w:rsidR="00FF4C83" w:rsidRPr="00CE379D">
        <w:rPr>
          <w:rFonts w:ascii="Arial" w:hAnsi="Arial" w:cs="Arial"/>
          <w:sz w:val="24"/>
          <w:szCs w:val="24"/>
        </w:rPr>
        <w:t>.</w:t>
      </w:r>
    </w:p>
    <w:p w:rsidR="00CB21E7" w:rsidRPr="00CE379D" w:rsidRDefault="00CB21E7" w:rsidP="00CB21E7">
      <w:pPr>
        <w:rPr>
          <w:rFonts w:ascii="Arial" w:hAnsi="Arial" w:cs="Arial"/>
          <w:b/>
          <w:sz w:val="24"/>
          <w:szCs w:val="24"/>
          <w:u w:val="single"/>
        </w:rPr>
      </w:pPr>
      <w:r w:rsidRPr="00CE379D">
        <w:rPr>
          <w:rFonts w:ascii="Arial" w:hAnsi="Arial" w:cs="Arial"/>
          <w:b/>
          <w:sz w:val="24"/>
          <w:szCs w:val="24"/>
          <w:u w:val="single"/>
        </w:rPr>
        <w:t>Timetable for the Review</w:t>
      </w:r>
    </w:p>
    <w:p w:rsidR="00CB21E7" w:rsidRPr="00CE379D" w:rsidRDefault="006400E2" w:rsidP="00CB21E7">
      <w:pPr>
        <w:rPr>
          <w:rFonts w:ascii="Arial" w:hAnsi="Arial" w:cs="Arial"/>
          <w:sz w:val="24"/>
          <w:szCs w:val="24"/>
        </w:rPr>
      </w:pPr>
      <w:r>
        <w:rPr>
          <w:rFonts w:ascii="Arial" w:hAnsi="Arial" w:cs="Arial"/>
          <w:sz w:val="24"/>
          <w:szCs w:val="24"/>
        </w:rPr>
        <w:t>Publication of these</w:t>
      </w:r>
      <w:r w:rsidR="00CB21E7" w:rsidRPr="00CE379D">
        <w:rPr>
          <w:rFonts w:ascii="Arial" w:hAnsi="Arial" w:cs="Arial"/>
          <w:sz w:val="24"/>
          <w:szCs w:val="24"/>
        </w:rPr>
        <w:t xml:space="preserve"> Terms of Reference formally begins the review, and the review must be completed within twelve months.</w:t>
      </w:r>
    </w:p>
    <w:tbl>
      <w:tblPr>
        <w:tblStyle w:val="TableGrid1"/>
        <w:tblW w:w="9606" w:type="dxa"/>
        <w:tblLook w:val="04A0" w:firstRow="1" w:lastRow="0" w:firstColumn="1" w:lastColumn="0" w:noHBand="0" w:noVBand="1"/>
      </w:tblPr>
      <w:tblGrid>
        <w:gridCol w:w="1951"/>
        <w:gridCol w:w="2410"/>
        <w:gridCol w:w="5245"/>
      </w:tblGrid>
      <w:tr w:rsidR="009041E9" w:rsidRPr="00CE379D" w:rsidTr="00070707">
        <w:tc>
          <w:tcPr>
            <w:tcW w:w="1951" w:type="dxa"/>
            <w:shd w:val="clear" w:color="auto" w:fill="BFBFBF" w:themeFill="background1" w:themeFillShade="BF"/>
          </w:tcPr>
          <w:p w:rsidR="009041E9" w:rsidRPr="00CE379D" w:rsidRDefault="009041E9" w:rsidP="00070707">
            <w:pPr>
              <w:jc w:val="center"/>
              <w:rPr>
                <w:rFonts w:cs="Arial"/>
                <w:sz w:val="24"/>
                <w:szCs w:val="24"/>
              </w:rPr>
            </w:pPr>
            <w:r w:rsidRPr="00CE379D">
              <w:rPr>
                <w:rFonts w:cs="Arial"/>
                <w:sz w:val="24"/>
                <w:szCs w:val="24"/>
              </w:rPr>
              <w:t>Stage</w:t>
            </w:r>
          </w:p>
        </w:tc>
        <w:tc>
          <w:tcPr>
            <w:tcW w:w="2410" w:type="dxa"/>
            <w:shd w:val="clear" w:color="auto" w:fill="BFBFBF" w:themeFill="background1" w:themeFillShade="BF"/>
          </w:tcPr>
          <w:p w:rsidR="009041E9" w:rsidRPr="00CE379D" w:rsidRDefault="009041E9" w:rsidP="00070707">
            <w:pPr>
              <w:jc w:val="center"/>
              <w:rPr>
                <w:rFonts w:cs="Arial"/>
                <w:sz w:val="24"/>
                <w:szCs w:val="24"/>
              </w:rPr>
            </w:pPr>
            <w:r w:rsidRPr="00CE379D">
              <w:rPr>
                <w:rFonts w:cs="Arial"/>
                <w:sz w:val="24"/>
                <w:szCs w:val="24"/>
              </w:rPr>
              <w:t>Timing</w:t>
            </w:r>
          </w:p>
        </w:tc>
        <w:tc>
          <w:tcPr>
            <w:tcW w:w="5245" w:type="dxa"/>
            <w:shd w:val="clear" w:color="auto" w:fill="BFBFBF" w:themeFill="background1" w:themeFillShade="BF"/>
          </w:tcPr>
          <w:p w:rsidR="009041E9" w:rsidRPr="00CE379D" w:rsidRDefault="009041E9" w:rsidP="00070707">
            <w:pPr>
              <w:jc w:val="center"/>
              <w:rPr>
                <w:rFonts w:cs="Arial"/>
                <w:sz w:val="24"/>
                <w:szCs w:val="24"/>
              </w:rPr>
            </w:pPr>
            <w:r w:rsidRPr="00CE379D">
              <w:rPr>
                <w:rFonts w:cs="Arial"/>
                <w:sz w:val="24"/>
                <w:szCs w:val="24"/>
              </w:rPr>
              <w:t>Function</w:t>
            </w:r>
          </w:p>
        </w:tc>
      </w:tr>
      <w:tr w:rsidR="006400E2" w:rsidRPr="00CE379D" w:rsidTr="00070707">
        <w:tc>
          <w:tcPr>
            <w:tcW w:w="1951" w:type="dxa"/>
          </w:tcPr>
          <w:p w:rsidR="006400E2" w:rsidRPr="00CE379D" w:rsidRDefault="006400E2" w:rsidP="00070707">
            <w:pPr>
              <w:rPr>
                <w:rFonts w:cs="Arial"/>
                <w:sz w:val="24"/>
                <w:szCs w:val="24"/>
              </w:rPr>
            </w:pPr>
            <w:r w:rsidRPr="00CE379D">
              <w:rPr>
                <w:rFonts w:cs="Arial"/>
                <w:sz w:val="24"/>
                <w:szCs w:val="24"/>
              </w:rPr>
              <w:t>Stage One</w:t>
            </w:r>
          </w:p>
        </w:tc>
        <w:tc>
          <w:tcPr>
            <w:tcW w:w="2410" w:type="dxa"/>
          </w:tcPr>
          <w:p w:rsidR="006400E2" w:rsidRPr="006400E2" w:rsidRDefault="00062D13" w:rsidP="00062D13">
            <w:pPr>
              <w:rPr>
                <w:sz w:val="24"/>
                <w:szCs w:val="24"/>
              </w:rPr>
            </w:pPr>
            <w:r>
              <w:rPr>
                <w:sz w:val="24"/>
                <w:szCs w:val="24"/>
              </w:rPr>
              <w:t>13</w:t>
            </w:r>
            <w:r w:rsidR="006400E2" w:rsidRPr="006400E2">
              <w:rPr>
                <w:sz w:val="24"/>
                <w:szCs w:val="24"/>
              </w:rPr>
              <w:t xml:space="preserve"> February 2019</w:t>
            </w:r>
          </w:p>
        </w:tc>
        <w:tc>
          <w:tcPr>
            <w:tcW w:w="5245" w:type="dxa"/>
          </w:tcPr>
          <w:p w:rsidR="006400E2" w:rsidRPr="00CE379D" w:rsidRDefault="00062D13" w:rsidP="00016A9F">
            <w:pPr>
              <w:rPr>
                <w:rFonts w:cs="Arial"/>
                <w:sz w:val="24"/>
                <w:szCs w:val="24"/>
              </w:rPr>
            </w:pPr>
            <w:r>
              <w:rPr>
                <w:rFonts w:cs="Arial"/>
                <w:sz w:val="24"/>
                <w:szCs w:val="24"/>
              </w:rPr>
              <w:t xml:space="preserve">Agreement by </w:t>
            </w:r>
            <w:r w:rsidR="006400E2" w:rsidRPr="00CE379D">
              <w:rPr>
                <w:rFonts w:cs="Arial"/>
                <w:sz w:val="24"/>
                <w:szCs w:val="24"/>
              </w:rPr>
              <w:t>Council to the terms of reference</w:t>
            </w:r>
          </w:p>
        </w:tc>
      </w:tr>
      <w:tr w:rsidR="006400E2" w:rsidRPr="00CE379D" w:rsidTr="00070707">
        <w:tc>
          <w:tcPr>
            <w:tcW w:w="1951" w:type="dxa"/>
          </w:tcPr>
          <w:p w:rsidR="006400E2" w:rsidRPr="00CE379D" w:rsidRDefault="006400E2" w:rsidP="00070707">
            <w:pPr>
              <w:rPr>
                <w:rFonts w:cs="Arial"/>
                <w:sz w:val="24"/>
                <w:szCs w:val="24"/>
              </w:rPr>
            </w:pPr>
            <w:r w:rsidRPr="00CE379D">
              <w:rPr>
                <w:rFonts w:cs="Arial"/>
                <w:sz w:val="24"/>
                <w:szCs w:val="24"/>
              </w:rPr>
              <w:t>Stage Two</w:t>
            </w:r>
          </w:p>
        </w:tc>
        <w:tc>
          <w:tcPr>
            <w:tcW w:w="2410" w:type="dxa"/>
          </w:tcPr>
          <w:p w:rsidR="006400E2" w:rsidRPr="006400E2" w:rsidRDefault="006400E2" w:rsidP="006400E2">
            <w:pPr>
              <w:rPr>
                <w:sz w:val="24"/>
                <w:szCs w:val="24"/>
              </w:rPr>
            </w:pPr>
            <w:r w:rsidRPr="006400E2">
              <w:rPr>
                <w:sz w:val="24"/>
                <w:szCs w:val="24"/>
              </w:rPr>
              <w:t>February 2019</w:t>
            </w:r>
          </w:p>
        </w:tc>
        <w:tc>
          <w:tcPr>
            <w:tcW w:w="5245" w:type="dxa"/>
          </w:tcPr>
          <w:p w:rsidR="006400E2" w:rsidRPr="00CE379D" w:rsidRDefault="006400E2" w:rsidP="00070707">
            <w:pPr>
              <w:rPr>
                <w:rFonts w:cs="Arial"/>
                <w:sz w:val="24"/>
                <w:szCs w:val="24"/>
              </w:rPr>
            </w:pPr>
            <w:r w:rsidRPr="00CE379D">
              <w:rPr>
                <w:rFonts w:cs="Arial"/>
                <w:sz w:val="24"/>
                <w:szCs w:val="24"/>
              </w:rPr>
              <w:t>Drawing up the pamphlet</w:t>
            </w:r>
          </w:p>
        </w:tc>
      </w:tr>
      <w:tr w:rsidR="006400E2" w:rsidRPr="00CE379D" w:rsidTr="00070707">
        <w:tc>
          <w:tcPr>
            <w:tcW w:w="1951" w:type="dxa"/>
          </w:tcPr>
          <w:p w:rsidR="006400E2" w:rsidRPr="00CE379D" w:rsidRDefault="006400E2" w:rsidP="00070707">
            <w:pPr>
              <w:rPr>
                <w:rFonts w:cs="Arial"/>
                <w:sz w:val="24"/>
                <w:szCs w:val="24"/>
              </w:rPr>
            </w:pPr>
            <w:r w:rsidRPr="00CE379D">
              <w:rPr>
                <w:rFonts w:cs="Arial"/>
                <w:sz w:val="24"/>
                <w:szCs w:val="24"/>
              </w:rPr>
              <w:t>Stage Three</w:t>
            </w:r>
          </w:p>
        </w:tc>
        <w:tc>
          <w:tcPr>
            <w:tcW w:w="2410" w:type="dxa"/>
          </w:tcPr>
          <w:p w:rsidR="006400E2" w:rsidRPr="006400E2" w:rsidRDefault="006400E2" w:rsidP="006400E2">
            <w:pPr>
              <w:rPr>
                <w:sz w:val="24"/>
                <w:szCs w:val="24"/>
              </w:rPr>
            </w:pPr>
            <w:r w:rsidRPr="006400E2">
              <w:rPr>
                <w:sz w:val="24"/>
                <w:szCs w:val="24"/>
              </w:rPr>
              <w:t>April-June 2019</w:t>
            </w:r>
          </w:p>
        </w:tc>
        <w:tc>
          <w:tcPr>
            <w:tcW w:w="5245" w:type="dxa"/>
          </w:tcPr>
          <w:p w:rsidR="006400E2" w:rsidRPr="00CE379D" w:rsidRDefault="006400E2" w:rsidP="00070707">
            <w:pPr>
              <w:rPr>
                <w:rFonts w:cs="Arial"/>
                <w:sz w:val="24"/>
                <w:szCs w:val="24"/>
              </w:rPr>
            </w:pPr>
            <w:r w:rsidRPr="00CE379D">
              <w:rPr>
                <w:rFonts w:cs="Arial"/>
                <w:sz w:val="24"/>
                <w:szCs w:val="24"/>
              </w:rPr>
              <w:t>Di</w:t>
            </w:r>
            <w:r>
              <w:rPr>
                <w:rFonts w:cs="Arial"/>
                <w:sz w:val="24"/>
                <w:szCs w:val="24"/>
              </w:rPr>
              <w:t xml:space="preserve">stribution of pamphlet and </w:t>
            </w:r>
            <w:proofErr w:type="spellStart"/>
            <w:r>
              <w:rPr>
                <w:rFonts w:cs="Arial"/>
                <w:sz w:val="24"/>
                <w:szCs w:val="24"/>
              </w:rPr>
              <w:t>a</w:t>
            </w:r>
            <w:proofErr w:type="spellEnd"/>
            <w:r>
              <w:rPr>
                <w:rFonts w:cs="Arial"/>
                <w:sz w:val="24"/>
                <w:szCs w:val="24"/>
              </w:rPr>
              <w:t xml:space="preserve"> eight</w:t>
            </w:r>
            <w:r w:rsidRPr="00CE379D">
              <w:rPr>
                <w:rFonts w:cs="Arial"/>
                <w:sz w:val="24"/>
                <w:szCs w:val="24"/>
              </w:rPr>
              <w:t>-week period for replies</w:t>
            </w:r>
          </w:p>
        </w:tc>
      </w:tr>
      <w:tr w:rsidR="006400E2" w:rsidRPr="00CE379D" w:rsidTr="00070707">
        <w:tc>
          <w:tcPr>
            <w:tcW w:w="1951" w:type="dxa"/>
          </w:tcPr>
          <w:p w:rsidR="006400E2" w:rsidRPr="00CE379D" w:rsidRDefault="006400E2" w:rsidP="00070707">
            <w:pPr>
              <w:rPr>
                <w:rFonts w:cs="Arial"/>
                <w:sz w:val="24"/>
                <w:szCs w:val="24"/>
              </w:rPr>
            </w:pPr>
            <w:r w:rsidRPr="00CE379D">
              <w:rPr>
                <w:rFonts w:cs="Arial"/>
                <w:sz w:val="24"/>
                <w:szCs w:val="24"/>
              </w:rPr>
              <w:t>Stage Four</w:t>
            </w:r>
          </w:p>
        </w:tc>
        <w:tc>
          <w:tcPr>
            <w:tcW w:w="2410" w:type="dxa"/>
          </w:tcPr>
          <w:p w:rsidR="006400E2" w:rsidRPr="006400E2" w:rsidRDefault="006400E2" w:rsidP="006400E2">
            <w:pPr>
              <w:rPr>
                <w:sz w:val="24"/>
                <w:szCs w:val="24"/>
              </w:rPr>
            </w:pPr>
            <w:r w:rsidRPr="006400E2">
              <w:rPr>
                <w:sz w:val="24"/>
                <w:szCs w:val="24"/>
              </w:rPr>
              <w:t>July-August 2019</w:t>
            </w:r>
          </w:p>
        </w:tc>
        <w:tc>
          <w:tcPr>
            <w:tcW w:w="5245" w:type="dxa"/>
          </w:tcPr>
          <w:p w:rsidR="006400E2" w:rsidRPr="00CE379D" w:rsidRDefault="006400E2" w:rsidP="009041E9">
            <w:pPr>
              <w:rPr>
                <w:rFonts w:cs="Arial"/>
                <w:sz w:val="24"/>
                <w:szCs w:val="24"/>
              </w:rPr>
            </w:pPr>
            <w:r w:rsidRPr="00CE379D">
              <w:rPr>
                <w:rFonts w:cs="Arial"/>
                <w:sz w:val="24"/>
                <w:szCs w:val="24"/>
              </w:rPr>
              <w:t>Reviewing replies and preparing to report to Council</w:t>
            </w:r>
          </w:p>
        </w:tc>
      </w:tr>
      <w:tr w:rsidR="006400E2" w:rsidRPr="00CE379D" w:rsidTr="00070707">
        <w:tc>
          <w:tcPr>
            <w:tcW w:w="1951" w:type="dxa"/>
          </w:tcPr>
          <w:p w:rsidR="006400E2" w:rsidRPr="00CE379D" w:rsidRDefault="006400E2" w:rsidP="00070707">
            <w:pPr>
              <w:rPr>
                <w:rFonts w:cs="Arial"/>
                <w:sz w:val="24"/>
                <w:szCs w:val="24"/>
              </w:rPr>
            </w:pPr>
            <w:r w:rsidRPr="00CE379D">
              <w:rPr>
                <w:rFonts w:cs="Arial"/>
                <w:sz w:val="24"/>
                <w:szCs w:val="24"/>
              </w:rPr>
              <w:t>Stage Five</w:t>
            </w:r>
          </w:p>
        </w:tc>
        <w:tc>
          <w:tcPr>
            <w:tcW w:w="2410" w:type="dxa"/>
          </w:tcPr>
          <w:p w:rsidR="006400E2" w:rsidRPr="006400E2" w:rsidRDefault="006400E2" w:rsidP="006400E2">
            <w:pPr>
              <w:rPr>
                <w:sz w:val="24"/>
                <w:szCs w:val="24"/>
              </w:rPr>
            </w:pPr>
            <w:r w:rsidRPr="006400E2">
              <w:rPr>
                <w:sz w:val="24"/>
                <w:szCs w:val="24"/>
              </w:rPr>
              <w:t>7 October 2019</w:t>
            </w:r>
          </w:p>
        </w:tc>
        <w:tc>
          <w:tcPr>
            <w:tcW w:w="5245" w:type="dxa"/>
          </w:tcPr>
          <w:p w:rsidR="006400E2" w:rsidRPr="00CE379D" w:rsidRDefault="006400E2" w:rsidP="009041E9">
            <w:pPr>
              <w:rPr>
                <w:rFonts w:cs="Arial"/>
                <w:sz w:val="24"/>
                <w:szCs w:val="24"/>
              </w:rPr>
            </w:pPr>
            <w:r w:rsidRPr="00CE379D">
              <w:rPr>
                <w:rFonts w:cs="Arial"/>
                <w:sz w:val="24"/>
                <w:szCs w:val="24"/>
              </w:rPr>
              <w:t>Report to Council on consultation results</w:t>
            </w:r>
          </w:p>
        </w:tc>
      </w:tr>
      <w:tr w:rsidR="006400E2" w:rsidRPr="00CE379D" w:rsidTr="00070707">
        <w:tc>
          <w:tcPr>
            <w:tcW w:w="1951" w:type="dxa"/>
          </w:tcPr>
          <w:p w:rsidR="006400E2" w:rsidRPr="00CE379D" w:rsidRDefault="006400E2" w:rsidP="00070707">
            <w:pPr>
              <w:rPr>
                <w:rFonts w:cs="Arial"/>
                <w:sz w:val="24"/>
                <w:szCs w:val="24"/>
              </w:rPr>
            </w:pPr>
            <w:r w:rsidRPr="00CE379D">
              <w:rPr>
                <w:rFonts w:cs="Arial"/>
                <w:sz w:val="24"/>
                <w:szCs w:val="24"/>
              </w:rPr>
              <w:t>Stage Six</w:t>
            </w:r>
          </w:p>
        </w:tc>
        <w:tc>
          <w:tcPr>
            <w:tcW w:w="2410" w:type="dxa"/>
          </w:tcPr>
          <w:p w:rsidR="006400E2" w:rsidRPr="006400E2" w:rsidRDefault="006400E2" w:rsidP="006400E2">
            <w:pPr>
              <w:rPr>
                <w:sz w:val="24"/>
                <w:szCs w:val="24"/>
              </w:rPr>
            </w:pPr>
            <w:r w:rsidRPr="006400E2">
              <w:rPr>
                <w:sz w:val="24"/>
                <w:szCs w:val="24"/>
              </w:rPr>
              <w:t>April 2020</w:t>
            </w:r>
          </w:p>
        </w:tc>
        <w:tc>
          <w:tcPr>
            <w:tcW w:w="5245" w:type="dxa"/>
          </w:tcPr>
          <w:p w:rsidR="006400E2" w:rsidRPr="00CE379D" w:rsidRDefault="006400E2" w:rsidP="00070707">
            <w:pPr>
              <w:rPr>
                <w:rFonts w:cs="Arial"/>
                <w:sz w:val="24"/>
                <w:szCs w:val="24"/>
              </w:rPr>
            </w:pPr>
            <w:r w:rsidRPr="00CE379D">
              <w:rPr>
                <w:rFonts w:cs="Arial"/>
                <w:sz w:val="24"/>
                <w:szCs w:val="24"/>
              </w:rPr>
              <w:t xml:space="preserve">(if approved) Creation of community council </w:t>
            </w:r>
          </w:p>
        </w:tc>
      </w:tr>
      <w:tr w:rsidR="006400E2" w:rsidRPr="00CE379D" w:rsidTr="00070707">
        <w:tc>
          <w:tcPr>
            <w:tcW w:w="1951" w:type="dxa"/>
          </w:tcPr>
          <w:p w:rsidR="006400E2" w:rsidRPr="00CE379D" w:rsidRDefault="006400E2" w:rsidP="00070707">
            <w:pPr>
              <w:rPr>
                <w:rFonts w:cs="Arial"/>
                <w:sz w:val="24"/>
                <w:szCs w:val="24"/>
              </w:rPr>
            </w:pPr>
            <w:r w:rsidRPr="00CE379D">
              <w:rPr>
                <w:rFonts w:cs="Arial"/>
                <w:sz w:val="24"/>
                <w:szCs w:val="24"/>
              </w:rPr>
              <w:t>Stage Seven</w:t>
            </w:r>
          </w:p>
        </w:tc>
        <w:tc>
          <w:tcPr>
            <w:tcW w:w="2410" w:type="dxa"/>
          </w:tcPr>
          <w:p w:rsidR="006400E2" w:rsidRPr="006400E2" w:rsidRDefault="006400E2" w:rsidP="006400E2">
            <w:pPr>
              <w:rPr>
                <w:sz w:val="24"/>
                <w:szCs w:val="24"/>
              </w:rPr>
            </w:pPr>
            <w:r w:rsidRPr="006400E2">
              <w:rPr>
                <w:sz w:val="24"/>
                <w:szCs w:val="24"/>
              </w:rPr>
              <w:t>May 2020</w:t>
            </w:r>
          </w:p>
        </w:tc>
        <w:tc>
          <w:tcPr>
            <w:tcW w:w="5245" w:type="dxa"/>
          </w:tcPr>
          <w:p w:rsidR="006400E2" w:rsidRPr="00CE379D" w:rsidRDefault="006400E2" w:rsidP="00070707">
            <w:pPr>
              <w:rPr>
                <w:rFonts w:cs="Arial"/>
                <w:sz w:val="24"/>
                <w:szCs w:val="24"/>
              </w:rPr>
            </w:pPr>
            <w:r w:rsidRPr="00CE379D">
              <w:rPr>
                <w:rFonts w:cs="Arial"/>
                <w:sz w:val="24"/>
                <w:szCs w:val="24"/>
              </w:rPr>
              <w:t>(if approved) First elections to the new council</w:t>
            </w:r>
          </w:p>
        </w:tc>
      </w:tr>
    </w:tbl>
    <w:p w:rsidR="00E26AF2" w:rsidRPr="00CE379D" w:rsidRDefault="00CB21E7" w:rsidP="00E26AF2">
      <w:pPr>
        <w:rPr>
          <w:rFonts w:ascii="Arial" w:hAnsi="Arial" w:cs="Arial"/>
          <w:b/>
          <w:sz w:val="24"/>
          <w:szCs w:val="24"/>
          <w:u w:val="single"/>
        </w:rPr>
      </w:pPr>
      <w:r w:rsidRPr="00CE379D">
        <w:rPr>
          <w:rFonts w:ascii="Arial" w:hAnsi="Arial" w:cs="Arial"/>
          <w:sz w:val="24"/>
          <w:szCs w:val="24"/>
          <w:u w:val="single"/>
        </w:rPr>
        <w:br/>
      </w:r>
      <w:r w:rsidR="00E26AF2" w:rsidRPr="00CE379D">
        <w:rPr>
          <w:rFonts w:ascii="Arial" w:hAnsi="Arial" w:cs="Arial"/>
          <w:b/>
          <w:sz w:val="24"/>
          <w:szCs w:val="24"/>
          <w:u w:val="single"/>
        </w:rPr>
        <w:t>How to submit your views</w:t>
      </w:r>
    </w:p>
    <w:p w:rsidR="00E26AF2" w:rsidRPr="00CE379D" w:rsidRDefault="00E26AF2" w:rsidP="00E26AF2">
      <w:pPr>
        <w:rPr>
          <w:rFonts w:ascii="Arial" w:hAnsi="Arial" w:cs="Arial"/>
          <w:sz w:val="24"/>
          <w:szCs w:val="24"/>
        </w:rPr>
      </w:pPr>
      <w:r w:rsidRPr="00CE379D">
        <w:rPr>
          <w:rFonts w:ascii="Arial" w:hAnsi="Arial" w:cs="Arial"/>
          <w:sz w:val="24"/>
          <w:szCs w:val="24"/>
        </w:rPr>
        <w:t>You can submit your views by</w:t>
      </w:r>
      <w:r w:rsidR="006400E2">
        <w:rPr>
          <w:rFonts w:ascii="Arial" w:hAnsi="Arial" w:cs="Arial"/>
          <w:sz w:val="24"/>
          <w:szCs w:val="24"/>
        </w:rPr>
        <w:t>:</w:t>
      </w:r>
      <w:r w:rsidRPr="00CE379D">
        <w:rPr>
          <w:rFonts w:ascii="Arial" w:hAnsi="Arial" w:cs="Arial"/>
          <w:sz w:val="24"/>
          <w:szCs w:val="24"/>
        </w:rPr>
        <w:t xml:space="preserve"> </w:t>
      </w:r>
    </w:p>
    <w:p w:rsidR="00E26AF2" w:rsidRPr="00CE379D" w:rsidRDefault="00E26AF2" w:rsidP="00E26AF2">
      <w:pPr>
        <w:rPr>
          <w:rFonts w:ascii="Arial" w:hAnsi="Arial" w:cs="Arial"/>
          <w:sz w:val="24"/>
          <w:szCs w:val="24"/>
        </w:rPr>
      </w:pPr>
      <w:r w:rsidRPr="00CE379D">
        <w:rPr>
          <w:rFonts w:ascii="Arial" w:hAnsi="Arial" w:cs="Arial"/>
          <w:sz w:val="24"/>
          <w:szCs w:val="24"/>
        </w:rPr>
        <w:t xml:space="preserve">Going to: </w:t>
      </w:r>
      <w:r w:rsidR="00FA54F5" w:rsidRPr="00CE379D">
        <w:rPr>
          <w:rFonts w:ascii="Arial" w:hAnsi="Arial" w:cs="Arial"/>
          <w:sz w:val="24"/>
          <w:szCs w:val="24"/>
        </w:rPr>
        <w:t>*</w:t>
      </w:r>
      <w:proofErr w:type="spellStart"/>
      <w:r w:rsidR="003467E5" w:rsidRPr="00CE379D">
        <w:rPr>
          <w:rFonts w:ascii="Arial" w:hAnsi="Arial" w:cs="Arial"/>
          <w:sz w:val="24"/>
          <w:szCs w:val="24"/>
        </w:rPr>
        <w:t>tbc</w:t>
      </w:r>
      <w:proofErr w:type="spellEnd"/>
      <w:r w:rsidR="00FA54F5" w:rsidRPr="00CE379D">
        <w:rPr>
          <w:rFonts w:ascii="Arial" w:hAnsi="Arial" w:cs="Arial"/>
          <w:sz w:val="24"/>
          <w:szCs w:val="24"/>
        </w:rPr>
        <w:t>*</w:t>
      </w:r>
    </w:p>
    <w:p w:rsidR="00E26AF2" w:rsidRPr="00CE379D" w:rsidRDefault="00E26AF2" w:rsidP="00E26AF2">
      <w:pPr>
        <w:rPr>
          <w:rFonts w:ascii="Arial" w:hAnsi="Arial" w:cs="Arial"/>
          <w:sz w:val="24"/>
          <w:szCs w:val="24"/>
        </w:rPr>
      </w:pPr>
      <w:r w:rsidRPr="00CE379D">
        <w:rPr>
          <w:rFonts w:ascii="Arial" w:hAnsi="Arial" w:cs="Arial"/>
          <w:sz w:val="24"/>
          <w:szCs w:val="24"/>
        </w:rPr>
        <w:t>Writing to:</w:t>
      </w:r>
    </w:p>
    <w:p w:rsidR="00CB35F2" w:rsidRPr="00CE379D" w:rsidRDefault="00E26AF2" w:rsidP="00E26AF2">
      <w:pPr>
        <w:rPr>
          <w:rFonts w:ascii="Arial" w:hAnsi="Arial" w:cs="Arial"/>
          <w:sz w:val="24"/>
          <w:szCs w:val="24"/>
        </w:rPr>
      </w:pPr>
      <w:r w:rsidRPr="00CE379D">
        <w:rPr>
          <w:rFonts w:ascii="Arial" w:hAnsi="Arial" w:cs="Arial"/>
          <w:sz w:val="24"/>
          <w:szCs w:val="24"/>
        </w:rPr>
        <w:t xml:space="preserve">Community </w:t>
      </w:r>
      <w:r w:rsidR="003467E5" w:rsidRPr="00CE379D">
        <w:rPr>
          <w:rFonts w:ascii="Arial" w:hAnsi="Arial" w:cs="Arial"/>
          <w:sz w:val="24"/>
          <w:szCs w:val="24"/>
        </w:rPr>
        <w:t>Governance Review (Electoral Services</w:t>
      </w:r>
      <w:proofErr w:type="gramStart"/>
      <w:r w:rsidRPr="00CE379D">
        <w:rPr>
          <w:rFonts w:ascii="Arial" w:hAnsi="Arial" w:cs="Arial"/>
          <w:sz w:val="24"/>
          <w:szCs w:val="24"/>
        </w:rPr>
        <w:t>)</w:t>
      </w:r>
      <w:proofErr w:type="gramEnd"/>
      <w:r w:rsidRPr="00CE379D">
        <w:rPr>
          <w:rFonts w:ascii="Arial" w:hAnsi="Arial" w:cs="Arial"/>
          <w:sz w:val="24"/>
          <w:szCs w:val="24"/>
        </w:rPr>
        <w:br/>
      </w:r>
      <w:r w:rsidR="00CB35F2" w:rsidRPr="00CE379D">
        <w:rPr>
          <w:rFonts w:ascii="Arial" w:hAnsi="Arial" w:cs="Arial"/>
          <w:sz w:val="24"/>
          <w:szCs w:val="24"/>
        </w:rPr>
        <w:t>Oxford City Council</w:t>
      </w:r>
      <w:r w:rsidR="00CB35F2" w:rsidRPr="00CE379D">
        <w:rPr>
          <w:rFonts w:ascii="Arial" w:hAnsi="Arial" w:cs="Arial"/>
          <w:sz w:val="24"/>
          <w:szCs w:val="24"/>
        </w:rPr>
        <w:br/>
        <w:t>Town Hall</w:t>
      </w:r>
      <w:r w:rsidR="00CB35F2" w:rsidRPr="00CE379D">
        <w:rPr>
          <w:rFonts w:ascii="Arial" w:hAnsi="Arial" w:cs="Arial"/>
          <w:sz w:val="24"/>
          <w:szCs w:val="24"/>
        </w:rPr>
        <w:br/>
        <w:t>St. Aldate’s</w:t>
      </w:r>
      <w:r w:rsidR="00CB35F2" w:rsidRPr="00CE379D">
        <w:rPr>
          <w:rFonts w:ascii="Arial" w:hAnsi="Arial" w:cs="Arial"/>
          <w:sz w:val="24"/>
          <w:szCs w:val="24"/>
        </w:rPr>
        <w:br/>
        <w:t>Oxford</w:t>
      </w:r>
      <w:r w:rsidR="00CB35F2" w:rsidRPr="00CE379D">
        <w:rPr>
          <w:rFonts w:ascii="Arial" w:hAnsi="Arial" w:cs="Arial"/>
          <w:sz w:val="24"/>
          <w:szCs w:val="24"/>
        </w:rPr>
        <w:br/>
        <w:t>OX1 1BX</w:t>
      </w:r>
    </w:p>
    <w:p w:rsidR="00E26AF2" w:rsidRPr="00CE379D" w:rsidRDefault="00E26AF2" w:rsidP="00E26AF2">
      <w:pPr>
        <w:rPr>
          <w:rFonts w:ascii="Arial" w:hAnsi="Arial" w:cs="Arial"/>
          <w:sz w:val="24"/>
          <w:szCs w:val="24"/>
        </w:rPr>
      </w:pPr>
      <w:r w:rsidRPr="00CE379D">
        <w:rPr>
          <w:rFonts w:ascii="Arial" w:hAnsi="Arial" w:cs="Arial"/>
          <w:sz w:val="24"/>
          <w:szCs w:val="24"/>
        </w:rPr>
        <w:t xml:space="preserve">Emailing: </w:t>
      </w:r>
      <w:hyperlink r:id="rId9" w:history="1">
        <w:r w:rsidR="00062D13" w:rsidRPr="00014D40">
          <w:rPr>
            <w:rStyle w:val="Hyperlink"/>
            <w:rFonts w:ascii="Arial" w:hAnsi="Arial" w:cs="Arial"/>
            <w:sz w:val="24"/>
            <w:szCs w:val="24"/>
          </w:rPr>
          <w:t>headingtonCGR@oxford.gov.uk</w:t>
        </w:r>
      </w:hyperlink>
      <w:r w:rsidRPr="00CE379D">
        <w:rPr>
          <w:rFonts w:ascii="Arial" w:hAnsi="Arial" w:cs="Arial"/>
          <w:sz w:val="24"/>
          <w:szCs w:val="24"/>
        </w:rPr>
        <w:t xml:space="preserve"> </w:t>
      </w:r>
    </w:p>
    <w:p w:rsidR="00070707" w:rsidRPr="00CE379D" w:rsidRDefault="00D33932" w:rsidP="00070707">
      <w:pPr>
        <w:rPr>
          <w:rFonts w:ascii="Arial" w:hAnsi="Arial" w:cs="Arial"/>
          <w:b/>
          <w:sz w:val="24"/>
          <w:szCs w:val="24"/>
          <w:u w:val="single"/>
        </w:rPr>
      </w:pPr>
      <w:r w:rsidRPr="00CE379D">
        <w:rPr>
          <w:rFonts w:ascii="Arial" w:hAnsi="Arial" w:cs="Arial"/>
          <w:b/>
          <w:sz w:val="24"/>
          <w:szCs w:val="24"/>
          <w:u w:val="single"/>
        </w:rPr>
        <w:t>When will the review begin?</w:t>
      </w:r>
    </w:p>
    <w:p w:rsidR="00070707" w:rsidRDefault="006400E2" w:rsidP="00070707">
      <w:pPr>
        <w:rPr>
          <w:rFonts w:ascii="Arial" w:hAnsi="Arial" w:cs="Arial"/>
          <w:sz w:val="24"/>
          <w:szCs w:val="24"/>
        </w:rPr>
      </w:pPr>
      <w:r>
        <w:rPr>
          <w:rFonts w:ascii="Arial" w:hAnsi="Arial" w:cs="Arial"/>
          <w:sz w:val="24"/>
          <w:szCs w:val="24"/>
        </w:rPr>
        <w:t>The review will begin in April 2019</w:t>
      </w:r>
      <w:r w:rsidR="00D33932" w:rsidRPr="00CE379D">
        <w:rPr>
          <w:rFonts w:ascii="Arial" w:hAnsi="Arial" w:cs="Arial"/>
          <w:sz w:val="24"/>
          <w:szCs w:val="24"/>
        </w:rPr>
        <w:t>.</w:t>
      </w:r>
    </w:p>
    <w:p w:rsidR="00C013CF" w:rsidRDefault="00C013CF" w:rsidP="00070707">
      <w:pPr>
        <w:rPr>
          <w:rFonts w:ascii="Arial" w:hAnsi="Arial" w:cs="Arial"/>
          <w:sz w:val="24"/>
          <w:szCs w:val="24"/>
        </w:rPr>
      </w:pPr>
    </w:p>
    <w:sectPr w:rsidR="00C013CF" w:rsidSect="0099704F">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13" w:rsidRDefault="00062D13" w:rsidP="0099704F">
      <w:pPr>
        <w:spacing w:after="0" w:line="240" w:lineRule="auto"/>
      </w:pPr>
      <w:r>
        <w:separator/>
      </w:r>
    </w:p>
  </w:endnote>
  <w:endnote w:type="continuationSeparator" w:id="0">
    <w:p w:rsidR="00062D13" w:rsidRDefault="00062D13" w:rsidP="0099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Lucida Fax"/>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13" w:rsidRDefault="00062D13" w:rsidP="0099704F">
      <w:pPr>
        <w:spacing w:after="0" w:line="240" w:lineRule="auto"/>
      </w:pPr>
      <w:r>
        <w:separator/>
      </w:r>
    </w:p>
  </w:footnote>
  <w:footnote w:type="continuationSeparator" w:id="0">
    <w:p w:rsidR="00062D13" w:rsidRDefault="00062D13" w:rsidP="00997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13" w:rsidRDefault="00062D13" w:rsidP="0099704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13" w:rsidRDefault="00062D13" w:rsidP="0099704F">
    <w:pPr>
      <w:pStyle w:val="Header"/>
      <w:jc w:val="center"/>
    </w:pPr>
    <w:r w:rsidRPr="00A63CB9">
      <w:rPr>
        <w:rFonts w:ascii="Arial" w:hAnsi="Arial" w:cs="Arial"/>
        <w:sz w:val="24"/>
        <w:szCs w:val="24"/>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6627"/>
    <w:multiLevelType w:val="hybridMultilevel"/>
    <w:tmpl w:val="6952F5AC"/>
    <w:lvl w:ilvl="0" w:tplc="8F04FECE">
      <w:start w:val="1"/>
      <w:numFmt w:val="decimal"/>
      <w:lvlText w:val="%1)"/>
      <w:lvlJc w:val="left"/>
      <w:pPr>
        <w:ind w:left="720" w:hanging="360"/>
      </w:pPr>
    </w:lvl>
    <w:lvl w:ilvl="1" w:tplc="DF8ED744" w:tentative="1">
      <w:start w:val="1"/>
      <w:numFmt w:val="lowerLetter"/>
      <w:lvlText w:val="%2."/>
      <w:lvlJc w:val="left"/>
      <w:pPr>
        <w:ind w:left="1440" w:hanging="360"/>
      </w:pPr>
    </w:lvl>
    <w:lvl w:ilvl="2" w:tplc="ECD0A20E" w:tentative="1">
      <w:start w:val="1"/>
      <w:numFmt w:val="lowerRoman"/>
      <w:lvlText w:val="%3."/>
      <w:lvlJc w:val="right"/>
      <w:pPr>
        <w:ind w:left="2160" w:hanging="180"/>
      </w:pPr>
    </w:lvl>
    <w:lvl w:ilvl="3" w:tplc="837CA484" w:tentative="1">
      <w:start w:val="1"/>
      <w:numFmt w:val="decimal"/>
      <w:lvlText w:val="%4."/>
      <w:lvlJc w:val="left"/>
      <w:pPr>
        <w:ind w:left="2880" w:hanging="360"/>
      </w:pPr>
    </w:lvl>
    <w:lvl w:ilvl="4" w:tplc="0A303FA2" w:tentative="1">
      <w:start w:val="1"/>
      <w:numFmt w:val="lowerLetter"/>
      <w:lvlText w:val="%5."/>
      <w:lvlJc w:val="left"/>
      <w:pPr>
        <w:ind w:left="3600" w:hanging="360"/>
      </w:pPr>
    </w:lvl>
    <w:lvl w:ilvl="5" w:tplc="ADE48244" w:tentative="1">
      <w:start w:val="1"/>
      <w:numFmt w:val="lowerRoman"/>
      <w:lvlText w:val="%6."/>
      <w:lvlJc w:val="right"/>
      <w:pPr>
        <w:ind w:left="4320" w:hanging="180"/>
      </w:pPr>
    </w:lvl>
    <w:lvl w:ilvl="6" w:tplc="10865318" w:tentative="1">
      <w:start w:val="1"/>
      <w:numFmt w:val="decimal"/>
      <w:lvlText w:val="%7."/>
      <w:lvlJc w:val="left"/>
      <w:pPr>
        <w:ind w:left="5040" w:hanging="360"/>
      </w:pPr>
    </w:lvl>
    <w:lvl w:ilvl="7" w:tplc="11AC4746" w:tentative="1">
      <w:start w:val="1"/>
      <w:numFmt w:val="lowerLetter"/>
      <w:lvlText w:val="%8."/>
      <w:lvlJc w:val="left"/>
      <w:pPr>
        <w:ind w:left="5760" w:hanging="360"/>
      </w:pPr>
    </w:lvl>
    <w:lvl w:ilvl="8" w:tplc="E0141C7A" w:tentative="1">
      <w:start w:val="1"/>
      <w:numFmt w:val="lowerRoman"/>
      <w:lvlText w:val="%9."/>
      <w:lvlJc w:val="right"/>
      <w:pPr>
        <w:ind w:left="6480" w:hanging="180"/>
      </w:pPr>
    </w:lvl>
  </w:abstractNum>
  <w:abstractNum w:abstractNumId="1">
    <w:nsid w:val="533C5B90"/>
    <w:multiLevelType w:val="hybridMultilevel"/>
    <w:tmpl w:val="D1A2B7E4"/>
    <w:lvl w:ilvl="0" w:tplc="40488BF0">
      <w:start w:val="1"/>
      <w:numFmt w:val="lowerLetter"/>
      <w:lvlText w:val="%1)"/>
      <w:lvlJc w:val="left"/>
      <w:pPr>
        <w:ind w:left="720" w:hanging="360"/>
      </w:pPr>
    </w:lvl>
    <w:lvl w:ilvl="1" w:tplc="0B30AA8A" w:tentative="1">
      <w:start w:val="1"/>
      <w:numFmt w:val="lowerLetter"/>
      <w:lvlText w:val="%2."/>
      <w:lvlJc w:val="left"/>
      <w:pPr>
        <w:ind w:left="1440" w:hanging="360"/>
      </w:pPr>
    </w:lvl>
    <w:lvl w:ilvl="2" w:tplc="D97AB4FC" w:tentative="1">
      <w:start w:val="1"/>
      <w:numFmt w:val="lowerRoman"/>
      <w:lvlText w:val="%3."/>
      <w:lvlJc w:val="right"/>
      <w:pPr>
        <w:ind w:left="2160" w:hanging="180"/>
      </w:pPr>
    </w:lvl>
    <w:lvl w:ilvl="3" w:tplc="D9867D8C" w:tentative="1">
      <w:start w:val="1"/>
      <w:numFmt w:val="decimal"/>
      <w:lvlText w:val="%4."/>
      <w:lvlJc w:val="left"/>
      <w:pPr>
        <w:ind w:left="2880" w:hanging="360"/>
      </w:pPr>
    </w:lvl>
    <w:lvl w:ilvl="4" w:tplc="C9A8C988" w:tentative="1">
      <w:start w:val="1"/>
      <w:numFmt w:val="lowerLetter"/>
      <w:lvlText w:val="%5."/>
      <w:lvlJc w:val="left"/>
      <w:pPr>
        <w:ind w:left="3600" w:hanging="360"/>
      </w:pPr>
    </w:lvl>
    <w:lvl w:ilvl="5" w:tplc="FA202BD0" w:tentative="1">
      <w:start w:val="1"/>
      <w:numFmt w:val="lowerRoman"/>
      <w:lvlText w:val="%6."/>
      <w:lvlJc w:val="right"/>
      <w:pPr>
        <w:ind w:left="4320" w:hanging="180"/>
      </w:pPr>
    </w:lvl>
    <w:lvl w:ilvl="6" w:tplc="3C74B474" w:tentative="1">
      <w:start w:val="1"/>
      <w:numFmt w:val="decimal"/>
      <w:lvlText w:val="%7."/>
      <w:lvlJc w:val="left"/>
      <w:pPr>
        <w:ind w:left="5040" w:hanging="360"/>
      </w:pPr>
    </w:lvl>
    <w:lvl w:ilvl="7" w:tplc="5D62E8E6" w:tentative="1">
      <w:start w:val="1"/>
      <w:numFmt w:val="lowerLetter"/>
      <w:lvlText w:val="%8."/>
      <w:lvlJc w:val="left"/>
      <w:pPr>
        <w:ind w:left="5760" w:hanging="360"/>
      </w:pPr>
    </w:lvl>
    <w:lvl w:ilvl="8" w:tplc="6ADE42B6" w:tentative="1">
      <w:start w:val="1"/>
      <w:numFmt w:val="lowerRoman"/>
      <w:lvlText w:val="%9."/>
      <w:lvlJc w:val="right"/>
      <w:pPr>
        <w:ind w:left="6480" w:hanging="180"/>
      </w:pPr>
    </w:lvl>
  </w:abstractNum>
  <w:abstractNum w:abstractNumId="2">
    <w:nsid w:val="71941D45"/>
    <w:multiLevelType w:val="hybridMultilevel"/>
    <w:tmpl w:val="126AE1BA"/>
    <w:lvl w:ilvl="0" w:tplc="928A43A6">
      <w:start w:val="1"/>
      <w:numFmt w:val="bullet"/>
      <w:lvlText w:val=""/>
      <w:lvlJc w:val="left"/>
      <w:pPr>
        <w:ind w:left="720" w:hanging="360"/>
      </w:pPr>
      <w:rPr>
        <w:rFonts w:ascii="Symbol" w:hAnsi="Symbol" w:hint="default"/>
      </w:rPr>
    </w:lvl>
    <w:lvl w:ilvl="1" w:tplc="8C480B2C" w:tentative="1">
      <w:start w:val="1"/>
      <w:numFmt w:val="bullet"/>
      <w:lvlText w:val="o"/>
      <w:lvlJc w:val="left"/>
      <w:pPr>
        <w:ind w:left="1440" w:hanging="360"/>
      </w:pPr>
      <w:rPr>
        <w:rFonts w:ascii="Courier New" w:hAnsi="Courier New" w:cs="Courier New" w:hint="default"/>
      </w:rPr>
    </w:lvl>
    <w:lvl w:ilvl="2" w:tplc="D0D65876" w:tentative="1">
      <w:start w:val="1"/>
      <w:numFmt w:val="bullet"/>
      <w:lvlText w:val=""/>
      <w:lvlJc w:val="left"/>
      <w:pPr>
        <w:ind w:left="2160" w:hanging="360"/>
      </w:pPr>
      <w:rPr>
        <w:rFonts w:ascii="Wingdings" w:hAnsi="Wingdings" w:hint="default"/>
      </w:rPr>
    </w:lvl>
    <w:lvl w:ilvl="3" w:tplc="0C48A804" w:tentative="1">
      <w:start w:val="1"/>
      <w:numFmt w:val="bullet"/>
      <w:lvlText w:val=""/>
      <w:lvlJc w:val="left"/>
      <w:pPr>
        <w:ind w:left="2880" w:hanging="360"/>
      </w:pPr>
      <w:rPr>
        <w:rFonts w:ascii="Symbol" w:hAnsi="Symbol" w:hint="default"/>
      </w:rPr>
    </w:lvl>
    <w:lvl w:ilvl="4" w:tplc="436A92E4" w:tentative="1">
      <w:start w:val="1"/>
      <w:numFmt w:val="bullet"/>
      <w:lvlText w:val="o"/>
      <w:lvlJc w:val="left"/>
      <w:pPr>
        <w:ind w:left="3600" w:hanging="360"/>
      </w:pPr>
      <w:rPr>
        <w:rFonts w:ascii="Courier New" w:hAnsi="Courier New" w:cs="Courier New" w:hint="default"/>
      </w:rPr>
    </w:lvl>
    <w:lvl w:ilvl="5" w:tplc="992CAE16" w:tentative="1">
      <w:start w:val="1"/>
      <w:numFmt w:val="bullet"/>
      <w:lvlText w:val=""/>
      <w:lvlJc w:val="left"/>
      <w:pPr>
        <w:ind w:left="4320" w:hanging="360"/>
      </w:pPr>
      <w:rPr>
        <w:rFonts w:ascii="Wingdings" w:hAnsi="Wingdings" w:hint="default"/>
      </w:rPr>
    </w:lvl>
    <w:lvl w:ilvl="6" w:tplc="224C13D6" w:tentative="1">
      <w:start w:val="1"/>
      <w:numFmt w:val="bullet"/>
      <w:lvlText w:val=""/>
      <w:lvlJc w:val="left"/>
      <w:pPr>
        <w:ind w:left="5040" w:hanging="360"/>
      </w:pPr>
      <w:rPr>
        <w:rFonts w:ascii="Symbol" w:hAnsi="Symbol" w:hint="default"/>
      </w:rPr>
    </w:lvl>
    <w:lvl w:ilvl="7" w:tplc="355A277A" w:tentative="1">
      <w:start w:val="1"/>
      <w:numFmt w:val="bullet"/>
      <w:lvlText w:val="o"/>
      <w:lvlJc w:val="left"/>
      <w:pPr>
        <w:ind w:left="5760" w:hanging="360"/>
      </w:pPr>
      <w:rPr>
        <w:rFonts w:ascii="Courier New" w:hAnsi="Courier New" w:cs="Courier New" w:hint="default"/>
      </w:rPr>
    </w:lvl>
    <w:lvl w:ilvl="8" w:tplc="E86AAC4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06"/>
    <w:rsid w:val="00016A9F"/>
    <w:rsid w:val="00055CDD"/>
    <w:rsid w:val="00062D13"/>
    <w:rsid w:val="00070707"/>
    <w:rsid w:val="00103268"/>
    <w:rsid w:val="00207375"/>
    <w:rsid w:val="002B5C29"/>
    <w:rsid w:val="00340C7E"/>
    <w:rsid w:val="003467E5"/>
    <w:rsid w:val="003678E6"/>
    <w:rsid w:val="00432410"/>
    <w:rsid w:val="00474927"/>
    <w:rsid w:val="00476889"/>
    <w:rsid w:val="006400E2"/>
    <w:rsid w:val="006D7E20"/>
    <w:rsid w:val="007F5033"/>
    <w:rsid w:val="008A7A6E"/>
    <w:rsid w:val="008B11B0"/>
    <w:rsid w:val="008D73BE"/>
    <w:rsid w:val="009041E9"/>
    <w:rsid w:val="0099704F"/>
    <w:rsid w:val="009B0734"/>
    <w:rsid w:val="00A212B6"/>
    <w:rsid w:val="00A63CB9"/>
    <w:rsid w:val="00B05D7F"/>
    <w:rsid w:val="00B6545D"/>
    <w:rsid w:val="00BA10FA"/>
    <w:rsid w:val="00C013CF"/>
    <w:rsid w:val="00C25BF5"/>
    <w:rsid w:val="00C74ED1"/>
    <w:rsid w:val="00CB21E7"/>
    <w:rsid w:val="00CB35F2"/>
    <w:rsid w:val="00CE379D"/>
    <w:rsid w:val="00D32806"/>
    <w:rsid w:val="00D33932"/>
    <w:rsid w:val="00DD72DD"/>
    <w:rsid w:val="00DE482D"/>
    <w:rsid w:val="00E26AF2"/>
    <w:rsid w:val="00EB4B70"/>
    <w:rsid w:val="00EB719F"/>
    <w:rsid w:val="00F64DF7"/>
    <w:rsid w:val="00FA54F5"/>
    <w:rsid w:val="00FF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48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7282"/>
    <w:pPr>
      <w:ind w:left="720"/>
      <w:contextualSpacing/>
    </w:pPr>
  </w:style>
  <w:style w:type="table" w:styleId="TableGrid">
    <w:name w:val="Table Grid"/>
    <w:basedOn w:val="TableNormal"/>
    <w:uiPriority w:val="59"/>
    <w:rsid w:val="002B5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782D"/>
    <w:rPr>
      <w:color w:val="0000FF" w:themeColor="hyperlink"/>
      <w:u w:val="single"/>
    </w:rPr>
  </w:style>
  <w:style w:type="character" w:styleId="FollowedHyperlink">
    <w:name w:val="FollowedHyperlink"/>
    <w:basedOn w:val="DefaultParagraphFont"/>
    <w:uiPriority w:val="99"/>
    <w:semiHidden/>
    <w:unhideWhenUsed/>
    <w:rsid w:val="00AC2949"/>
    <w:rPr>
      <w:color w:val="800080" w:themeColor="followedHyperlink"/>
      <w:u w:val="single"/>
    </w:rPr>
  </w:style>
  <w:style w:type="paragraph" w:styleId="BalloonText">
    <w:name w:val="Balloon Text"/>
    <w:basedOn w:val="Normal"/>
    <w:link w:val="BalloonTextChar"/>
    <w:uiPriority w:val="99"/>
    <w:semiHidden/>
    <w:unhideWhenUsed/>
    <w:rsid w:val="00857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803"/>
    <w:rPr>
      <w:rFonts w:ascii="Tahoma" w:hAnsi="Tahoma" w:cs="Tahoma"/>
      <w:sz w:val="16"/>
      <w:szCs w:val="16"/>
    </w:rPr>
  </w:style>
  <w:style w:type="paragraph" w:styleId="Header">
    <w:name w:val="header"/>
    <w:basedOn w:val="Normal"/>
    <w:link w:val="HeaderChar"/>
    <w:uiPriority w:val="99"/>
    <w:unhideWhenUsed/>
    <w:rsid w:val="00997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04F"/>
  </w:style>
  <w:style w:type="paragraph" w:styleId="Footer">
    <w:name w:val="footer"/>
    <w:basedOn w:val="Normal"/>
    <w:link w:val="FooterChar"/>
    <w:uiPriority w:val="99"/>
    <w:unhideWhenUsed/>
    <w:rsid w:val="00997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04F"/>
  </w:style>
  <w:style w:type="table" w:customStyle="1" w:styleId="TableGrid1">
    <w:name w:val="Table Grid1"/>
    <w:basedOn w:val="TableNormal"/>
    <w:next w:val="TableGrid"/>
    <w:rsid w:val="009041E9"/>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48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7282"/>
    <w:pPr>
      <w:ind w:left="720"/>
      <w:contextualSpacing/>
    </w:pPr>
  </w:style>
  <w:style w:type="table" w:styleId="TableGrid">
    <w:name w:val="Table Grid"/>
    <w:basedOn w:val="TableNormal"/>
    <w:uiPriority w:val="59"/>
    <w:rsid w:val="002B5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782D"/>
    <w:rPr>
      <w:color w:val="0000FF" w:themeColor="hyperlink"/>
      <w:u w:val="single"/>
    </w:rPr>
  </w:style>
  <w:style w:type="character" w:styleId="FollowedHyperlink">
    <w:name w:val="FollowedHyperlink"/>
    <w:basedOn w:val="DefaultParagraphFont"/>
    <w:uiPriority w:val="99"/>
    <w:semiHidden/>
    <w:unhideWhenUsed/>
    <w:rsid w:val="00AC2949"/>
    <w:rPr>
      <w:color w:val="800080" w:themeColor="followedHyperlink"/>
      <w:u w:val="single"/>
    </w:rPr>
  </w:style>
  <w:style w:type="paragraph" w:styleId="BalloonText">
    <w:name w:val="Balloon Text"/>
    <w:basedOn w:val="Normal"/>
    <w:link w:val="BalloonTextChar"/>
    <w:uiPriority w:val="99"/>
    <w:semiHidden/>
    <w:unhideWhenUsed/>
    <w:rsid w:val="00857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803"/>
    <w:rPr>
      <w:rFonts w:ascii="Tahoma" w:hAnsi="Tahoma" w:cs="Tahoma"/>
      <w:sz w:val="16"/>
      <w:szCs w:val="16"/>
    </w:rPr>
  </w:style>
  <w:style w:type="paragraph" w:styleId="Header">
    <w:name w:val="header"/>
    <w:basedOn w:val="Normal"/>
    <w:link w:val="HeaderChar"/>
    <w:uiPriority w:val="99"/>
    <w:unhideWhenUsed/>
    <w:rsid w:val="00997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04F"/>
  </w:style>
  <w:style w:type="paragraph" w:styleId="Footer">
    <w:name w:val="footer"/>
    <w:basedOn w:val="Normal"/>
    <w:link w:val="FooterChar"/>
    <w:uiPriority w:val="99"/>
    <w:unhideWhenUsed/>
    <w:rsid w:val="00997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04F"/>
  </w:style>
  <w:style w:type="table" w:customStyle="1" w:styleId="TableGrid1">
    <w:name w:val="Table Grid1"/>
    <w:basedOn w:val="TableNormal"/>
    <w:next w:val="TableGrid"/>
    <w:rsid w:val="009041E9"/>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ingtonCGR@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DD088C88.dotm</Template>
  <TotalTime>526</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Dubberley</dc:creator>
  <cp:lastModifiedBy>mjohn</cp:lastModifiedBy>
  <cp:revision>11</cp:revision>
  <cp:lastPrinted>2016-08-11T08:43:00Z</cp:lastPrinted>
  <dcterms:created xsi:type="dcterms:W3CDTF">2019-01-07T10:52:00Z</dcterms:created>
  <dcterms:modified xsi:type="dcterms:W3CDTF">2019-02-01T11:55:00Z</dcterms:modified>
</cp:coreProperties>
</file>